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CA34" w14:textId="1BCC2EA9" w:rsidR="00D05A2E" w:rsidRPr="00C21AF5" w:rsidRDefault="00830E52" w:rsidP="00830E52">
      <w:pPr>
        <w:jc w:val="right"/>
      </w:pPr>
      <w:r w:rsidRPr="00C21AF5">
        <w:rPr>
          <w:noProof/>
          <w:lang w:eastAsia="en-AU"/>
        </w:rPr>
        <w:drawing>
          <wp:inline distT="0" distB="0" distL="0" distR="0" wp14:anchorId="0326BAB4" wp14:editId="6DB514FD">
            <wp:extent cx="2526843" cy="1261742"/>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784" cy="1282185"/>
                    </a:xfrm>
                    <a:prstGeom prst="rect">
                      <a:avLst/>
                    </a:prstGeom>
                    <a:noFill/>
                    <a:ln>
                      <a:noFill/>
                    </a:ln>
                  </pic:spPr>
                </pic:pic>
              </a:graphicData>
            </a:graphic>
          </wp:inline>
        </w:drawing>
      </w:r>
    </w:p>
    <w:p w14:paraId="69A52527" w14:textId="77777777" w:rsidR="00830E52" w:rsidRPr="00C21AF5" w:rsidRDefault="00830E52" w:rsidP="00830E52">
      <w:pPr>
        <w:jc w:val="right"/>
      </w:pPr>
    </w:p>
    <w:p w14:paraId="32A0657E" w14:textId="77777777" w:rsidR="00830E52" w:rsidRPr="00C21AF5" w:rsidRDefault="00830E52" w:rsidP="00830E52">
      <w:pPr>
        <w:jc w:val="right"/>
      </w:pPr>
    </w:p>
    <w:p w14:paraId="2FA5E374" w14:textId="77777777" w:rsidR="00830E52" w:rsidRPr="00C21AF5" w:rsidRDefault="00830E52" w:rsidP="00830E52">
      <w:pPr>
        <w:jc w:val="right"/>
      </w:pPr>
    </w:p>
    <w:p w14:paraId="2C5F4B8D" w14:textId="77777777" w:rsidR="00830E52" w:rsidRPr="00C21AF5" w:rsidRDefault="00830E52" w:rsidP="00830E52">
      <w:pPr>
        <w:jc w:val="right"/>
      </w:pPr>
    </w:p>
    <w:p w14:paraId="69115D12" w14:textId="77777777" w:rsidR="00B7055A" w:rsidRPr="00C21AF5" w:rsidRDefault="00B7055A" w:rsidP="00830E52">
      <w:pPr>
        <w:jc w:val="right"/>
      </w:pPr>
    </w:p>
    <w:p w14:paraId="778E39F3" w14:textId="77777777" w:rsidR="00B7055A" w:rsidRPr="00C21AF5" w:rsidRDefault="00B7055A" w:rsidP="00830E52">
      <w:pPr>
        <w:jc w:val="right"/>
      </w:pPr>
    </w:p>
    <w:p w14:paraId="38B975FB" w14:textId="77777777" w:rsidR="00B7055A" w:rsidRPr="00C21AF5" w:rsidRDefault="00B7055A" w:rsidP="00830E52">
      <w:pPr>
        <w:jc w:val="right"/>
      </w:pPr>
    </w:p>
    <w:p w14:paraId="3A07EFFB" w14:textId="77777777" w:rsidR="00B7055A" w:rsidRPr="00C21AF5" w:rsidRDefault="00B7055A" w:rsidP="00830E52">
      <w:pPr>
        <w:jc w:val="right"/>
      </w:pPr>
    </w:p>
    <w:p w14:paraId="286A0305" w14:textId="77777777" w:rsidR="00830E52" w:rsidRPr="00C21AF5" w:rsidRDefault="00830E52" w:rsidP="00830E52">
      <w:pPr>
        <w:jc w:val="right"/>
      </w:pPr>
    </w:p>
    <w:p w14:paraId="2E0C880D" w14:textId="77777777" w:rsidR="00830E52" w:rsidRPr="00C21AF5" w:rsidRDefault="00830E52" w:rsidP="00830E52">
      <w:pPr>
        <w:jc w:val="right"/>
      </w:pPr>
    </w:p>
    <w:p w14:paraId="2B8F6AAE" w14:textId="77777777" w:rsidR="00830E52" w:rsidRPr="00C21AF5" w:rsidRDefault="00830E52" w:rsidP="00830E52">
      <w:pPr>
        <w:jc w:val="right"/>
      </w:pPr>
    </w:p>
    <w:p w14:paraId="02488725" w14:textId="77777777" w:rsidR="00830E52" w:rsidRPr="00C21AF5" w:rsidRDefault="00830E52" w:rsidP="00830E52">
      <w:pPr>
        <w:jc w:val="right"/>
      </w:pPr>
    </w:p>
    <w:p w14:paraId="3379A6E0" w14:textId="77777777" w:rsidR="00830E52" w:rsidRPr="00C21AF5" w:rsidRDefault="00830E52" w:rsidP="00830E52">
      <w:pPr>
        <w:jc w:val="right"/>
      </w:pPr>
    </w:p>
    <w:p w14:paraId="741E968E" w14:textId="615F6916" w:rsidR="00830E52" w:rsidRPr="00C21AF5" w:rsidRDefault="00830E52" w:rsidP="00830E52">
      <w:pPr>
        <w:jc w:val="right"/>
        <w:rPr>
          <w:rFonts w:ascii="Arial" w:hAnsi="Arial" w:cs="Arial"/>
          <w:sz w:val="40"/>
          <w:szCs w:val="40"/>
        </w:rPr>
      </w:pPr>
      <w:r w:rsidRPr="00C21AF5">
        <w:rPr>
          <w:rFonts w:ascii="Arial" w:hAnsi="Arial" w:cs="Arial"/>
          <w:sz w:val="40"/>
          <w:szCs w:val="40"/>
        </w:rPr>
        <w:t>Capacity To Pay</w:t>
      </w:r>
    </w:p>
    <w:p w14:paraId="136F029A" w14:textId="16C2737B" w:rsidR="00830E52" w:rsidRPr="00C21AF5" w:rsidRDefault="000E3A77" w:rsidP="00830E52">
      <w:pPr>
        <w:pBdr>
          <w:bottom w:val="single" w:sz="12" w:space="1" w:color="auto"/>
        </w:pBdr>
        <w:jc w:val="right"/>
        <w:rPr>
          <w:rFonts w:ascii="Arial" w:hAnsi="Arial" w:cs="Arial"/>
          <w:sz w:val="40"/>
          <w:szCs w:val="40"/>
        </w:rPr>
      </w:pPr>
      <w:r>
        <w:rPr>
          <w:rFonts w:ascii="Arial" w:hAnsi="Arial" w:cs="Arial"/>
          <w:sz w:val="40"/>
          <w:szCs w:val="40"/>
        </w:rPr>
        <w:t>S</w:t>
      </w:r>
      <w:r w:rsidR="001F4F7D">
        <w:rPr>
          <w:rFonts w:ascii="Arial" w:hAnsi="Arial" w:cs="Arial"/>
          <w:sz w:val="40"/>
          <w:szCs w:val="40"/>
        </w:rPr>
        <w:t>nowy Valleys Council</w:t>
      </w:r>
      <w:r w:rsidR="00830E52" w:rsidRPr="00C21AF5">
        <w:rPr>
          <w:rFonts w:ascii="Arial" w:hAnsi="Arial" w:cs="Arial"/>
          <w:sz w:val="40"/>
          <w:szCs w:val="40"/>
        </w:rPr>
        <w:t xml:space="preserve"> 202</w:t>
      </w:r>
      <w:r w:rsidR="001F4F7D">
        <w:rPr>
          <w:rFonts w:ascii="Arial" w:hAnsi="Arial" w:cs="Arial"/>
          <w:sz w:val="40"/>
          <w:szCs w:val="40"/>
        </w:rPr>
        <w:t>4</w:t>
      </w:r>
    </w:p>
    <w:p w14:paraId="317E5D70" w14:textId="77777777" w:rsidR="00830E52" w:rsidRPr="00C21AF5" w:rsidRDefault="00830E52" w:rsidP="00830E52">
      <w:pPr>
        <w:jc w:val="right"/>
        <w:rPr>
          <w:rFonts w:ascii="Avenir Next LT Pro" w:hAnsi="Avenir Next LT Pro"/>
        </w:rPr>
      </w:pPr>
    </w:p>
    <w:p w14:paraId="60A67BB1" w14:textId="3C1BEC20" w:rsidR="00830E52" w:rsidRPr="00C21AF5" w:rsidRDefault="00830E52">
      <w:pPr>
        <w:rPr>
          <w:rFonts w:ascii="Avenir Next LT Pro" w:hAnsi="Avenir Next LT Pro"/>
        </w:rPr>
      </w:pPr>
      <w:r w:rsidRPr="00C21AF5">
        <w:rPr>
          <w:rFonts w:ascii="Avenir Next LT Pro" w:hAnsi="Avenir Next LT Pro"/>
        </w:rPr>
        <w:br w:type="page"/>
      </w:r>
    </w:p>
    <w:p w14:paraId="373148D5" w14:textId="77777777" w:rsidR="00830E52" w:rsidRPr="00C21AF5" w:rsidRDefault="00830E52" w:rsidP="00830E52">
      <w:pPr>
        <w:rPr>
          <w:rFonts w:ascii="Avenir Next LT Pro" w:hAnsi="Avenir Next LT Pro"/>
          <w:sz w:val="28"/>
          <w:szCs w:val="28"/>
        </w:rPr>
      </w:pPr>
    </w:p>
    <w:p w14:paraId="79D4C0C7" w14:textId="77777777" w:rsidR="00577C01" w:rsidRPr="00C21AF5" w:rsidRDefault="00577C01" w:rsidP="00830E52">
      <w:pPr>
        <w:rPr>
          <w:rFonts w:ascii="Avenir Next LT Pro" w:hAnsi="Avenir Next LT Pro"/>
          <w:sz w:val="28"/>
          <w:szCs w:val="28"/>
        </w:rPr>
      </w:pPr>
    </w:p>
    <w:p w14:paraId="4EB6231B" w14:textId="77777777" w:rsidR="00577C01" w:rsidRPr="00C21AF5" w:rsidRDefault="00577C01" w:rsidP="00830E52">
      <w:pPr>
        <w:rPr>
          <w:rFonts w:ascii="Avenir Next LT Pro" w:hAnsi="Avenir Next LT Pro"/>
        </w:rPr>
      </w:pPr>
    </w:p>
    <w:sdt>
      <w:sdtPr>
        <w:rPr>
          <w:rFonts w:asciiTheme="minorHAnsi" w:eastAsiaTheme="minorHAnsi" w:hAnsiTheme="minorHAnsi" w:cstheme="minorBidi"/>
          <w:color w:val="auto"/>
          <w:kern w:val="2"/>
          <w:sz w:val="22"/>
          <w:szCs w:val="22"/>
          <w:lang w:val="en-AU"/>
          <w14:ligatures w14:val="standardContextual"/>
        </w:rPr>
        <w:id w:val="-1270533631"/>
        <w:docPartObj>
          <w:docPartGallery w:val="Table of Contents"/>
          <w:docPartUnique/>
        </w:docPartObj>
      </w:sdtPr>
      <w:sdtEndPr>
        <w:rPr>
          <w:rFonts w:ascii="Avenir Next LT Pro Light" w:hAnsi="Avenir Next LT Pro Light"/>
          <w:b/>
          <w:bCs/>
          <w:noProof/>
        </w:rPr>
      </w:sdtEndPr>
      <w:sdtContent>
        <w:p w14:paraId="14D91C3F" w14:textId="061476EF" w:rsidR="00577C01" w:rsidRPr="000D3C9C" w:rsidRDefault="00577C01">
          <w:pPr>
            <w:pStyle w:val="TOCHeading"/>
            <w:rPr>
              <w:rFonts w:ascii="Arial" w:hAnsi="Arial" w:cs="Arial"/>
              <w:b/>
              <w:bCs/>
              <w:color w:val="auto"/>
              <w:sz w:val="22"/>
              <w:szCs w:val="22"/>
            </w:rPr>
          </w:pPr>
          <w:r w:rsidRPr="000D3C9C">
            <w:rPr>
              <w:rFonts w:ascii="Arial" w:hAnsi="Arial" w:cs="Arial"/>
              <w:b/>
              <w:bCs/>
              <w:color w:val="auto"/>
              <w:sz w:val="22"/>
              <w:szCs w:val="22"/>
            </w:rPr>
            <w:t>Contents</w:t>
          </w:r>
        </w:p>
        <w:p w14:paraId="33A37E94" w14:textId="77777777" w:rsidR="00221CBA" w:rsidRPr="000D3C9C" w:rsidRDefault="00221CBA" w:rsidP="00221CBA">
          <w:pPr>
            <w:rPr>
              <w:rFonts w:ascii="Arial" w:hAnsi="Arial" w:cs="Arial"/>
              <w:lang w:val="en-US"/>
            </w:rPr>
          </w:pPr>
        </w:p>
        <w:p w14:paraId="18D8A612" w14:textId="14FA002D" w:rsidR="00A45E4E" w:rsidRDefault="00577C01">
          <w:pPr>
            <w:pStyle w:val="TOC1"/>
            <w:rPr>
              <w:rFonts w:eastAsiaTheme="minorEastAsia"/>
              <w:noProof/>
              <w:lang w:eastAsia="en-AU"/>
            </w:rPr>
          </w:pPr>
          <w:r w:rsidRPr="000D3C9C">
            <w:rPr>
              <w:rFonts w:ascii="Arial" w:hAnsi="Arial" w:cs="Arial"/>
            </w:rPr>
            <w:fldChar w:fldCharType="begin"/>
          </w:r>
          <w:r w:rsidRPr="000D3C9C">
            <w:rPr>
              <w:rFonts w:ascii="Arial" w:hAnsi="Arial" w:cs="Arial"/>
            </w:rPr>
            <w:instrText xml:space="preserve"> TOC \o "1-3" \h \z \u </w:instrText>
          </w:r>
          <w:r w:rsidRPr="000D3C9C">
            <w:rPr>
              <w:rFonts w:ascii="Arial" w:hAnsi="Arial" w:cs="Arial"/>
            </w:rPr>
            <w:fldChar w:fldCharType="separate"/>
          </w:r>
          <w:hyperlink w:anchor="_Toc156305587" w:history="1">
            <w:r w:rsidR="00A45E4E" w:rsidRPr="00037E26">
              <w:rPr>
                <w:rStyle w:val="Hyperlink"/>
                <w:rFonts w:ascii="Arial" w:hAnsi="Arial" w:cs="Arial"/>
                <w:b/>
                <w:bCs/>
                <w:noProof/>
              </w:rPr>
              <w:t>Executive Summary</w:t>
            </w:r>
            <w:r w:rsidR="00A45E4E">
              <w:rPr>
                <w:noProof/>
                <w:webHidden/>
              </w:rPr>
              <w:tab/>
            </w:r>
            <w:r w:rsidR="00A45E4E">
              <w:rPr>
                <w:noProof/>
                <w:webHidden/>
              </w:rPr>
              <w:fldChar w:fldCharType="begin"/>
            </w:r>
            <w:r w:rsidR="00A45E4E">
              <w:rPr>
                <w:noProof/>
                <w:webHidden/>
              </w:rPr>
              <w:instrText xml:space="preserve"> PAGEREF _Toc156305587 \h </w:instrText>
            </w:r>
            <w:r w:rsidR="00A45E4E">
              <w:rPr>
                <w:noProof/>
                <w:webHidden/>
              </w:rPr>
            </w:r>
            <w:r w:rsidR="00A45E4E">
              <w:rPr>
                <w:noProof/>
                <w:webHidden/>
              </w:rPr>
              <w:fldChar w:fldCharType="separate"/>
            </w:r>
            <w:r w:rsidR="00FA1126">
              <w:rPr>
                <w:noProof/>
                <w:webHidden/>
              </w:rPr>
              <w:t>3</w:t>
            </w:r>
            <w:r w:rsidR="00A45E4E">
              <w:rPr>
                <w:noProof/>
                <w:webHidden/>
              </w:rPr>
              <w:fldChar w:fldCharType="end"/>
            </w:r>
          </w:hyperlink>
        </w:p>
        <w:p w14:paraId="4A67B211" w14:textId="5DB9E3EB" w:rsidR="00A45E4E" w:rsidRDefault="00000000">
          <w:pPr>
            <w:pStyle w:val="TOC1"/>
            <w:rPr>
              <w:rFonts w:eastAsiaTheme="minorEastAsia"/>
              <w:noProof/>
              <w:lang w:eastAsia="en-AU"/>
            </w:rPr>
          </w:pPr>
          <w:hyperlink w:anchor="_Toc156305588" w:history="1">
            <w:r w:rsidR="00A45E4E" w:rsidRPr="00037E26">
              <w:rPr>
                <w:rStyle w:val="Hyperlink"/>
                <w:rFonts w:ascii="Arial" w:hAnsi="Arial" w:cs="Arial"/>
                <w:b/>
                <w:bCs/>
                <w:noProof/>
              </w:rPr>
              <w:t>Introduction</w:t>
            </w:r>
            <w:r w:rsidR="00A45E4E">
              <w:rPr>
                <w:noProof/>
                <w:webHidden/>
              </w:rPr>
              <w:tab/>
            </w:r>
            <w:r w:rsidR="00A45E4E">
              <w:rPr>
                <w:noProof/>
                <w:webHidden/>
              </w:rPr>
              <w:fldChar w:fldCharType="begin"/>
            </w:r>
            <w:r w:rsidR="00A45E4E">
              <w:rPr>
                <w:noProof/>
                <w:webHidden/>
              </w:rPr>
              <w:instrText xml:space="preserve"> PAGEREF _Toc156305588 \h </w:instrText>
            </w:r>
            <w:r w:rsidR="00A45E4E">
              <w:rPr>
                <w:noProof/>
                <w:webHidden/>
              </w:rPr>
            </w:r>
            <w:r w:rsidR="00A45E4E">
              <w:rPr>
                <w:noProof/>
                <w:webHidden/>
              </w:rPr>
              <w:fldChar w:fldCharType="separate"/>
            </w:r>
            <w:r w:rsidR="00FA1126">
              <w:rPr>
                <w:noProof/>
                <w:webHidden/>
              </w:rPr>
              <w:t>3</w:t>
            </w:r>
            <w:r w:rsidR="00A45E4E">
              <w:rPr>
                <w:noProof/>
                <w:webHidden/>
              </w:rPr>
              <w:fldChar w:fldCharType="end"/>
            </w:r>
          </w:hyperlink>
        </w:p>
        <w:p w14:paraId="0727127E" w14:textId="514A5261" w:rsidR="00A45E4E" w:rsidRDefault="00000000">
          <w:pPr>
            <w:pStyle w:val="TOC1"/>
            <w:rPr>
              <w:rFonts w:eastAsiaTheme="minorEastAsia"/>
              <w:noProof/>
              <w:lang w:eastAsia="en-AU"/>
            </w:rPr>
          </w:pPr>
          <w:hyperlink w:anchor="_Toc156305589" w:history="1">
            <w:r w:rsidR="00A45E4E" w:rsidRPr="00037E26">
              <w:rPr>
                <w:rStyle w:val="Hyperlink"/>
                <w:rFonts w:ascii="Arial" w:hAnsi="Arial" w:cs="Arial"/>
                <w:b/>
                <w:bCs/>
                <w:noProof/>
              </w:rPr>
              <w:t>Background</w:t>
            </w:r>
            <w:r w:rsidR="00A45E4E">
              <w:rPr>
                <w:noProof/>
                <w:webHidden/>
              </w:rPr>
              <w:tab/>
            </w:r>
            <w:r w:rsidR="00A45E4E">
              <w:rPr>
                <w:noProof/>
                <w:webHidden/>
              </w:rPr>
              <w:fldChar w:fldCharType="begin"/>
            </w:r>
            <w:r w:rsidR="00A45E4E">
              <w:rPr>
                <w:noProof/>
                <w:webHidden/>
              </w:rPr>
              <w:instrText xml:space="preserve"> PAGEREF _Toc156305589 \h </w:instrText>
            </w:r>
            <w:r w:rsidR="00A45E4E">
              <w:rPr>
                <w:noProof/>
                <w:webHidden/>
              </w:rPr>
            </w:r>
            <w:r w:rsidR="00A45E4E">
              <w:rPr>
                <w:noProof/>
                <w:webHidden/>
              </w:rPr>
              <w:fldChar w:fldCharType="separate"/>
            </w:r>
            <w:r w:rsidR="00FA1126">
              <w:rPr>
                <w:noProof/>
                <w:webHidden/>
              </w:rPr>
              <w:t>3</w:t>
            </w:r>
            <w:r w:rsidR="00A45E4E">
              <w:rPr>
                <w:noProof/>
                <w:webHidden/>
              </w:rPr>
              <w:fldChar w:fldCharType="end"/>
            </w:r>
          </w:hyperlink>
        </w:p>
        <w:p w14:paraId="00FD16DD" w14:textId="6667F51D" w:rsidR="00A45E4E" w:rsidRDefault="00000000">
          <w:pPr>
            <w:pStyle w:val="TOC1"/>
            <w:rPr>
              <w:rFonts w:eastAsiaTheme="minorEastAsia"/>
              <w:noProof/>
              <w:lang w:eastAsia="en-AU"/>
            </w:rPr>
          </w:pPr>
          <w:hyperlink w:anchor="_Toc156305590" w:history="1">
            <w:r w:rsidR="00A45E4E" w:rsidRPr="00037E26">
              <w:rPr>
                <w:rStyle w:val="Hyperlink"/>
                <w:rFonts w:ascii="Arial" w:hAnsi="Arial" w:cs="Arial"/>
                <w:b/>
                <w:bCs/>
                <w:noProof/>
              </w:rPr>
              <w:t>Economic Region</w:t>
            </w:r>
            <w:r w:rsidR="00A45E4E">
              <w:rPr>
                <w:noProof/>
                <w:webHidden/>
              </w:rPr>
              <w:tab/>
            </w:r>
            <w:r w:rsidR="00A45E4E">
              <w:rPr>
                <w:noProof/>
                <w:webHidden/>
              </w:rPr>
              <w:fldChar w:fldCharType="begin"/>
            </w:r>
            <w:r w:rsidR="00A45E4E">
              <w:rPr>
                <w:noProof/>
                <w:webHidden/>
              </w:rPr>
              <w:instrText xml:space="preserve"> PAGEREF _Toc156305590 \h </w:instrText>
            </w:r>
            <w:r w:rsidR="00A45E4E">
              <w:rPr>
                <w:noProof/>
                <w:webHidden/>
              </w:rPr>
            </w:r>
            <w:r w:rsidR="00A45E4E">
              <w:rPr>
                <w:noProof/>
                <w:webHidden/>
              </w:rPr>
              <w:fldChar w:fldCharType="separate"/>
            </w:r>
            <w:r w:rsidR="00FA1126">
              <w:rPr>
                <w:noProof/>
                <w:webHidden/>
              </w:rPr>
              <w:t>4</w:t>
            </w:r>
            <w:r w:rsidR="00A45E4E">
              <w:rPr>
                <w:noProof/>
                <w:webHidden/>
              </w:rPr>
              <w:fldChar w:fldCharType="end"/>
            </w:r>
          </w:hyperlink>
        </w:p>
        <w:p w14:paraId="0862BA69" w14:textId="74432DA2" w:rsidR="00A45E4E" w:rsidRDefault="00000000">
          <w:pPr>
            <w:pStyle w:val="TOC1"/>
            <w:rPr>
              <w:rFonts w:eastAsiaTheme="minorEastAsia"/>
              <w:noProof/>
              <w:lang w:eastAsia="en-AU"/>
            </w:rPr>
          </w:pPr>
          <w:hyperlink w:anchor="_Toc156305591" w:history="1">
            <w:r w:rsidR="00A45E4E" w:rsidRPr="00037E26">
              <w:rPr>
                <w:rStyle w:val="Hyperlink"/>
                <w:rFonts w:ascii="Arial" w:hAnsi="Arial" w:cs="Arial"/>
                <w:b/>
                <w:bCs/>
                <w:noProof/>
              </w:rPr>
              <w:t>Land Use</w:t>
            </w:r>
            <w:r w:rsidR="00A45E4E">
              <w:rPr>
                <w:noProof/>
                <w:webHidden/>
              </w:rPr>
              <w:tab/>
            </w:r>
            <w:r w:rsidR="00A45E4E">
              <w:rPr>
                <w:noProof/>
                <w:webHidden/>
              </w:rPr>
              <w:fldChar w:fldCharType="begin"/>
            </w:r>
            <w:r w:rsidR="00A45E4E">
              <w:rPr>
                <w:noProof/>
                <w:webHidden/>
              </w:rPr>
              <w:instrText xml:space="preserve"> PAGEREF _Toc156305591 \h </w:instrText>
            </w:r>
            <w:r w:rsidR="00A45E4E">
              <w:rPr>
                <w:noProof/>
                <w:webHidden/>
              </w:rPr>
            </w:r>
            <w:r w:rsidR="00A45E4E">
              <w:rPr>
                <w:noProof/>
                <w:webHidden/>
              </w:rPr>
              <w:fldChar w:fldCharType="separate"/>
            </w:r>
            <w:r w:rsidR="00FA1126">
              <w:rPr>
                <w:noProof/>
                <w:webHidden/>
              </w:rPr>
              <w:t>5</w:t>
            </w:r>
            <w:r w:rsidR="00A45E4E">
              <w:rPr>
                <w:noProof/>
                <w:webHidden/>
              </w:rPr>
              <w:fldChar w:fldCharType="end"/>
            </w:r>
          </w:hyperlink>
        </w:p>
        <w:p w14:paraId="4E96025F" w14:textId="73437474" w:rsidR="00A45E4E" w:rsidRDefault="00000000">
          <w:pPr>
            <w:pStyle w:val="TOC1"/>
            <w:rPr>
              <w:rFonts w:eastAsiaTheme="minorEastAsia"/>
              <w:noProof/>
              <w:lang w:eastAsia="en-AU"/>
            </w:rPr>
          </w:pPr>
          <w:hyperlink w:anchor="_Toc156305592" w:history="1">
            <w:r w:rsidR="00A45E4E" w:rsidRPr="00037E26">
              <w:rPr>
                <w:rStyle w:val="Hyperlink"/>
                <w:rFonts w:ascii="Arial" w:hAnsi="Arial" w:cs="Arial"/>
                <w:b/>
                <w:bCs/>
                <w:noProof/>
              </w:rPr>
              <w:t>Methodology</w:t>
            </w:r>
            <w:r w:rsidR="00A45E4E">
              <w:rPr>
                <w:noProof/>
                <w:webHidden/>
              </w:rPr>
              <w:tab/>
            </w:r>
            <w:r w:rsidR="00A45E4E">
              <w:rPr>
                <w:noProof/>
                <w:webHidden/>
              </w:rPr>
              <w:fldChar w:fldCharType="begin"/>
            </w:r>
            <w:r w:rsidR="00A45E4E">
              <w:rPr>
                <w:noProof/>
                <w:webHidden/>
              </w:rPr>
              <w:instrText xml:space="preserve"> PAGEREF _Toc156305592 \h </w:instrText>
            </w:r>
            <w:r w:rsidR="00A45E4E">
              <w:rPr>
                <w:noProof/>
                <w:webHidden/>
              </w:rPr>
            </w:r>
            <w:r w:rsidR="00A45E4E">
              <w:rPr>
                <w:noProof/>
                <w:webHidden/>
              </w:rPr>
              <w:fldChar w:fldCharType="separate"/>
            </w:r>
            <w:r w:rsidR="00FA1126">
              <w:rPr>
                <w:noProof/>
                <w:webHidden/>
              </w:rPr>
              <w:t>5</w:t>
            </w:r>
            <w:r w:rsidR="00A45E4E">
              <w:rPr>
                <w:noProof/>
                <w:webHidden/>
              </w:rPr>
              <w:fldChar w:fldCharType="end"/>
            </w:r>
          </w:hyperlink>
        </w:p>
        <w:p w14:paraId="6BE5CCA4" w14:textId="508BCCD1" w:rsidR="00A45E4E" w:rsidRDefault="00000000">
          <w:pPr>
            <w:pStyle w:val="TOC1"/>
            <w:rPr>
              <w:rFonts w:eastAsiaTheme="minorEastAsia"/>
              <w:noProof/>
              <w:lang w:eastAsia="en-AU"/>
            </w:rPr>
          </w:pPr>
          <w:hyperlink w:anchor="_Toc156305593" w:history="1">
            <w:r w:rsidR="00A45E4E" w:rsidRPr="00037E26">
              <w:rPr>
                <w:rStyle w:val="Hyperlink"/>
                <w:rFonts w:ascii="Arial" w:hAnsi="Arial" w:cs="Arial"/>
                <w:b/>
                <w:bCs/>
                <w:noProof/>
              </w:rPr>
              <w:t>Age Profile by Region</w:t>
            </w:r>
            <w:r w:rsidR="00A45E4E">
              <w:rPr>
                <w:noProof/>
                <w:webHidden/>
              </w:rPr>
              <w:tab/>
            </w:r>
            <w:r w:rsidR="00A45E4E">
              <w:rPr>
                <w:noProof/>
                <w:webHidden/>
              </w:rPr>
              <w:fldChar w:fldCharType="begin"/>
            </w:r>
            <w:r w:rsidR="00A45E4E">
              <w:rPr>
                <w:noProof/>
                <w:webHidden/>
              </w:rPr>
              <w:instrText xml:space="preserve"> PAGEREF _Toc156305593 \h </w:instrText>
            </w:r>
            <w:r w:rsidR="00A45E4E">
              <w:rPr>
                <w:noProof/>
                <w:webHidden/>
              </w:rPr>
            </w:r>
            <w:r w:rsidR="00A45E4E">
              <w:rPr>
                <w:noProof/>
                <w:webHidden/>
              </w:rPr>
              <w:fldChar w:fldCharType="separate"/>
            </w:r>
            <w:r w:rsidR="00FA1126">
              <w:rPr>
                <w:noProof/>
                <w:webHidden/>
              </w:rPr>
              <w:t>6</w:t>
            </w:r>
            <w:r w:rsidR="00A45E4E">
              <w:rPr>
                <w:noProof/>
                <w:webHidden/>
              </w:rPr>
              <w:fldChar w:fldCharType="end"/>
            </w:r>
          </w:hyperlink>
        </w:p>
        <w:p w14:paraId="69E894BB" w14:textId="2F4A83A3" w:rsidR="00A45E4E" w:rsidRDefault="00000000">
          <w:pPr>
            <w:pStyle w:val="TOC1"/>
            <w:rPr>
              <w:rFonts w:eastAsiaTheme="minorEastAsia"/>
              <w:noProof/>
              <w:lang w:eastAsia="en-AU"/>
            </w:rPr>
          </w:pPr>
          <w:hyperlink w:anchor="_Toc156305594" w:history="1">
            <w:r w:rsidR="00A45E4E" w:rsidRPr="00037E26">
              <w:rPr>
                <w:rStyle w:val="Hyperlink"/>
                <w:rFonts w:ascii="Arial" w:hAnsi="Arial" w:cs="Arial"/>
                <w:b/>
                <w:bCs/>
                <w:noProof/>
              </w:rPr>
              <w:t>Household Composition</w:t>
            </w:r>
            <w:r w:rsidR="00A45E4E">
              <w:rPr>
                <w:noProof/>
                <w:webHidden/>
              </w:rPr>
              <w:tab/>
            </w:r>
            <w:r w:rsidR="00A45E4E">
              <w:rPr>
                <w:noProof/>
                <w:webHidden/>
              </w:rPr>
              <w:fldChar w:fldCharType="begin"/>
            </w:r>
            <w:r w:rsidR="00A45E4E">
              <w:rPr>
                <w:noProof/>
                <w:webHidden/>
              </w:rPr>
              <w:instrText xml:space="preserve"> PAGEREF _Toc156305594 \h </w:instrText>
            </w:r>
            <w:r w:rsidR="00A45E4E">
              <w:rPr>
                <w:noProof/>
                <w:webHidden/>
              </w:rPr>
            </w:r>
            <w:r w:rsidR="00A45E4E">
              <w:rPr>
                <w:noProof/>
                <w:webHidden/>
              </w:rPr>
              <w:fldChar w:fldCharType="separate"/>
            </w:r>
            <w:r w:rsidR="00FA1126">
              <w:rPr>
                <w:noProof/>
                <w:webHidden/>
              </w:rPr>
              <w:t>7</w:t>
            </w:r>
            <w:r w:rsidR="00A45E4E">
              <w:rPr>
                <w:noProof/>
                <w:webHidden/>
              </w:rPr>
              <w:fldChar w:fldCharType="end"/>
            </w:r>
          </w:hyperlink>
        </w:p>
        <w:p w14:paraId="1A9EAC2B" w14:textId="5E19F643" w:rsidR="00A45E4E" w:rsidRDefault="00000000">
          <w:pPr>
            <w:pStyle w:val="TOC1"/>
            <w:rPr>
              <w:rFonts w:eastAsiaTheme="minorEastAsia"/>
              <w:noProof/>
              <w:lang w:eastAsia="en-AU"/>
            </w:rPr>
          </w:pPr>
          <w:hyperlink w:anchor="_Toc156305595" w:history="1">
            <w:r w:rsidR="00A45E4E" w:rsidRPr="00037E26">
              <w:rPr>
                <w:rStyle w:val="Hyperlink"/>
                <w:rFonts w:ascii="Arial" w:hAnsi="Arial" w:cs="Arial"/>
                <w:b/>
                <w:bCs/>
                <w:noProof/>
              </w:rPr>
              <w:t>Housing Tenure</w:t>
            </w:r>
            <w:r w:rsidR="00A45E4E">
              <w:rPr>
                <w:noProof/>
                <w:webHidden/>
              </w:rPr>
              <w:tab/>
            </w:r>
            <w:r w:rsidR="00A45E4E">
              <w:rPr>
                <w:noProof/>
                <w:webHidden/>
              </w:rPr>
              <w:fldChar w:fldCharType="begin"/>
            </w:r>
            <w:r w:rsidR="00A45E4E">
              <w:rPr>
                <w:noProof/>
                <w:webHidden/>
              </w:rPr>
              <w:instrText xml:space="preserve"> PAGEREF _Toc156305595 \h </w:instrText>
            </w:r>
            <w:r w:rsidR="00A45E4E">
              <w:rPr>
                <w:noProof/>
                <w:webHidden/>
              </w:rPr>
            </w:r>
            <w:r w:rsidR="00A45E4E">
              <w:rPr>
                <w:noProof/>
                <w:webHidden/>
              </w:rPr>
              <w:fldChar w:fldCharType="separate"/>
            </w:r>
            <w:r w:rsidR="00FA1126">
              <w:rPr>
                <w:noProof/>
                <w:webHidden/>
              </w:rPr>
              <w:t>7</w:t>
            </w:r>
            <w:r w:rsidR="00A45E4E">
              <w:rPr>
                <w:noProof/>
                <w:webHidden/>
              </w:rPr>
              <w:fldChar w:fldCharType="end"/>
            </w:r>
          </w:hyperlink>
        </w:p>
        <w:p w14:paraId="543FA61E" w14:textId="700BA712" w:rsidR="00A45E4E" w:rsidRDefault="00000000">
          <w:pPr>
            <w:pStyle w:val="TOC1"/>
            <w:rPr>
              <w:rFonts w:eastAsiaTheme="minorEastAsia"/>
              <w:noProof/>
              <w:lang w:eastAsia="en-AU"/>
            </w:rPr>
          </w:pPr>
          <w:hyperlink w:anchor="_Toc156305596" w:history="1">
            <w:r w:rsidR="00A45E4E" w:rsidRPr="00037E26">
              <w:rPr>
                <w:rStyle w:val="Hyperlink"/>
                <w:rFonts w:ascii="Arial" w:hAnsi="Arial" w:cs="Arial"/>
                <w:b/>
                <w:bCs/>
                <w:noProof/>
              </w:rPr>
              <w:t>Equivalised Household Income</w:t>
            </w:r>
            <w:r w:rsidR="00A45E4E">
              <w:rPr>
                <w:noProof/>
                <w:webHidden/>
              </w:rPr>
              <w:tab/>
            </w:r>
            <w:r w:rsidR="00A45E4E">
              <w:rPr>
                <w:noProof/>
                <w:webHidden/>
              </w:rPr>
              <w:fldChar w:fldCharType="begin"/>
            </w:r>
            <w:r w:rsidR="00A45E4E">
              <w:rPr>
                <w:noProof/>
                <w:webHidden/>
              </w:rPr>
              <w:instrText xml:space="preserve"> PAGEREF _Toc156305596 \h </w:instrText>
            </w:r>
            <w:r w:rsidR="00A45E4E">
              <w:rPr>
                <w:noProof/>
                <w:webHidden/>
              </w:rPr>
            </w:r>
            <w:r w:rsidR="00A45E4E">
              <w:rPr>
                <w:noProof/>
                <w:webHidden/>
              </w:rPr>
              <w:fldChar w:fldCharType="separate"/>
            </w:r>
            <w:r w:rsidR="00FA1126">
              <w:rPr>
                <w:noProof/>
                <w:webHidden/>
              </w:rPr>
              <w:t>8</w:t>
            </w:r>
            <w:r w:rsidR="00A45E4E">
              <w:rPr>
                <w:noProof/>
                <w:webHidden/>
              </w:rPr>
              <w:fldChar w:fldCharType="end"/>
            </w:r>
          </w:hyperlink>
        </w:p>
        <w:p w14:paraId="28D4A517" w14:textId="6C70052C" w:rsidR="00A45E4E" w:rsidRDefault="00000000">
          <w:pPr>
            <w:pStyle w:val="TOC1"/>
            <w:rPr>
              <w:rFonts w:eastAsiaTheme="minorEastAsia"/>
              <w:noProof/>
              <w:lang w:eastAsia="en-AU"/>
            </w:rPr>
          </w:pPr>
          <w:hyperlink w:anchor="_Toc156305597" w:history="1">
            <w:r w:rsidR="00A45E4E" w:rsidRPr="00037E26">
              <w:rPr>
                <w:rStyle w:val="Hyperlink"/>
                <w:rFonts w:ascii="Arial" w:hAnsi="Arial" w:cs="Arial"/>
                <w:b/>
                <w:bCs/>
                <w:noProof/>
              </w:rPr>
              <w:t>Household Income Quartiles</w:t>
            </w:r>
            <w:r w:rsidR="00A45E4E">
              <w:rPr>
                <w:noProof/>
                <w:webHidden/>
              </w:rPr>
              <w:tab/>
            </w:r>
            <w:r w:rsidR="00A45E4E">
              <w:rPr>
                <w:noProof/>
                <w:webHidden/>
              </w:rPr>
              <w:fldChar w:fldCharType="begin"/>
            </w:r>
            <w:r w:rsidR="00A45E4E">
              <w:rPr>
                <w:noProof/>
                <w:webHidden/>
              </w:rPr>
              <w:instrText xml:space="preserve"> PAGEREF _Toc156305597 \h </w:instrText>
            </w:r>
            <w:r w:rsidR="00A45E4E">
              <w:rPr>
                <w:noProof/>
                <w:webHidden/>
              </w:rPr>
            </w:r>
            <w:r w:rsidR="00A45E4E">
              <w:rPr>
                <w:noProof/>
                <w:webHidden/>
              </w:rPr>
              <w:fldChar w:fldCharType="separate"/>
            </w:r>
            <w:r w:rsidR="00FA1126">
              <w:rPr>
                <w:noProof/>
                <w:webHidden/>
              </w:rPr>
              <w:t>9</w:t>
            </w:r>
            <w:r w:rsidR="00A45E4E">
              <w:rPr>
                <w:noProof/>
                <w:webHidden/>
              </w:rPr>
              <w:fldChar w:fldCharType="end"/>
            </w:r>
          </w:hyperlink>
        </w:p>
        <w:p w14:paraId="01DAE6AE" w14:textId="67D53CBE" w:rsidR="00A45E4E" w:rsidRDefault="00000000">
          <w:pPr>
            <w:pStyle w:val="TOC1"/>
            <w:rPr>
              <w:rFonts w:eastAsiaTheme="minorEastAsia"/>
              <w:noProof/>
              <w:lang w:eastAsia="en-AU"/>
            </w:rPr>
          </w:pPr>
          <w:hyperlink w:anchor="_Toc156305599" w:history="1">
            <w:r w:rsidR="00A45E4E" w:rsidRPr="00037E26">
              <w:rPr>
                <w:rStyle w:val="Hyperlink"/>
                <w:rFonts w:ascii="Arial" w:hAnsi="Arial" w:cs="Arial"/>
                <w:b/>
                <w:bCs/>
                <w:noProof/>
              </w:rPr>
              <w:t>Vulnerable Groups or Individuals</w:t>
            </w:r>
            <w:r w:rsidR="00A45E4E">
              <w:rPr>
                <w:noProof/>
                <w:webHidden/>
              </w:rPr>
              <w:tab/>
            </w:r>
            <w:r w:rsidR="00A45E4E">
              <w:rPr>
                <w:noProof/>
                <w:webHidden/>
              </w:rPr>
              <w:fldChar w:fldCharType="begin"/>
            </w:r>
            <w:r w:rsidR="00A45E4E">
              <w:rPr>
                <w:noProof/>
                <w:webHidden/>
              </w:rPr>
              <w:instrText xml:space="preserve"> PAGEREF _Toc156305599 \h </w:instrText>
            </w:r>
            <w:r w:rsidR="00A45E4E">
              <w:rPr>
                <w:noProof/>
                <w:webHidden/>
              </w:rPr>
            </w:r>
            <w:r w:rsidR="00A45E4E">
              <w:rPr>
                <w:noProof/>
                <w:webHidden/>
              </w:rPr>
              <w:fldChar w:fldCharType="separate"/>
            </w:r>
            <w:r w:rsidR="00FA1126">
              <w:rPr>
                <w:noProof/>
                <w:webHidden/>
              </w:rPr>
              <w:t>10</w:t>
            </w:r>
            <w:r w:rsidR="00A45E4E">
              <w:rPr>
                <w:noProof/>
                <w:webHidden/>
              </w:rPr>
              <w:fldChar w:fldCharType="end"/>
            </w:r>
          </w:hyperlink>
        </w:p>
        <w:p w14:paraId="45D040D5" w14:textId="57284703" w:rsidR="00A45E4E" w:rsidRDefault="00000000">
          <w:pPr>
            <w:pStyle w:val="TOC1"/>
            <w:rPr>
              <w:rFonts w:eastAsiaTheme="minorEastAsia"/>
              <w:noProof/>
              <w:lang w:eastAsia="en-AU"/>
            </w:rPr>
          </w:pPr>
          <w:hyperlink w:anchor="_Toc156305600" w:history="1">
            <w:r w:rsidR="00A45E4E" w:rsidRPr="00037E26">
              <w:rPr>
                <w:rStyle w:val="Hyperlink"/>
                <w:rFonts w:ascii="Arial" w:hAnsi="Arial" w:cs="Arial"/>
                <w:b/>
                <w:bCs/>
                <w:noProof/>
              </w:rPr>
              <w:t>Education Institution Attending</w:t>
            </w:r>
            <w:r w:rsidR="00A45E4E">
              <w:rPr>
                <w:noProof/>
                <w:webHidden/>
              </w:rPr>
              <w:tab/>
            </w:r>
            <w:r w:rsidR="00A45E4E">
              <w:rPr>
                <w:noProof/>
                <w:webHidden/>
              </w:rPr>
              <w:fldChar w:fldCharType="begin"/>
            </w:r>
            <w:r w:rsidR="00A45E4E">
              <w:rPr>
                <w:noProof/>
                <w:webHidden/>
              </w:rPr>
              <w:instrText xml:space="preserve"> PAGEREF _Toc156305600 \h </w:instrText>
            </w:r>
            <w:r w:rsidR="00A45E4E">
              <w:rPr>
                <w:noProof/>
                <w:webHidden/>
              </w:rPr>
            </w:r>
            <w:r w:rsidR="00A45E4E">
              <w:rPr>
                <w:noProof/>
                <w:webHidden/>
              </w:rPr>
              <w:fldChar w:fldCharType="separate"/>
            </w:r>
            <w:r w:rsidR="00FA1126">
              <w:rPr>
                <w:noProof/>
                <w:webHidden/>
              </w:rPr>
              <w:t>11</w:t>
            </w:r>
            <w:r w:rsidR="00A45E4E">
              <w:rPr>
                <w:noProof/>
                <w:webHidden/>
              </w:rPr>
              <w:fldChar w:fldCharType="end"/>
            </w:r>
          </w:hyperlink>
        </w:p>
        <w:p w14:paraId="61540361" w14:textId="0C521765" w:rsidR="00A45E4E" w:rsidRDefault="00000000">
          <w:pPr>
            <w:pStyle w:val="TOC1"/>
            <w:rPr>
              <w:rFonts w:eastAsiaTheme="minorEastAsia"/>
              <w:noProof/>
              <w:lang w:eastAsia="en-AU"/>
            </w:rPr>
          </w:pPr>
          <w:hyperlink w:anchor="_Toc156305601" w:history="1">
            <w:r w:rsidR="00A45E4E" w:rsidRPr="00037E26">
              <w:rPr>
                <w:rStyle w:val="Hyperlink"/>
                <w:rFonts w:ascii="Arial" w:hAnsi="Arial" w:cs="Arial"/>
                <w:b/>
                <w:bCs/>
                <w:noProof/>
              </w:rPr>
              <w:t>Highest Qualification Achieved</w:t>
            </w:r>
            <w:r w:rsidR="00A45E4E">
              <w:rPr>
                <w:noProof/>
                <w:webHidden/>
              </w:rPr>
              <w:tab/>
            </w:r>
            <w:r w:rsidR="00A45E4E">
              <w:rPr>
                <w:noProof/>
                <w:webHidden/>
              </w:rPr>
              <w:fldChar w:fldCharType="begin"/>
            </w:r>
            <w:r w:rsidR="00A45E4E">
              <w:rPr>
                <w:noProof/>
                <w:webHidden/>
              </w:rPr>
              <w:instrText xml:space="preserve"> PAGEREF _Toc156305601 \h </w:instrText>
            </w:r>
            <w:r w:rsidR="00A45E4E">
              <w:rPr>
                <w:noProof/>
                <w:webHidden/>
              </w:rPr>
            </w:r>
            <w:r w:rsidR="00A45E4E">
              <w:rPr>
                <w:noProof/>
                <w:webHidden/>
              </w:rPr>
              <w:fldChar w:fldCharType="separate"/>
            </w:r>
            <w:r w:rsidR="00FA1126">
              <w:rPr>
                <w:noProof/>
                <w:webHidden/>
              </w:rPr>
              <w:t>11</w:t>
            </w:r>
            <w:r w:rsidR="00A45E4E">
              <w:rPr>
                <w:noProof/>
                <w:webHidden/>
              </w:rPr>
              <w:fldChar w:fldCharType="end"/>
            </w:r>
          </w:hyperlink>
        </w:p>
        <w:p w14:paraId="6F128337" w14:textId="078E02D9" w:rsidR="00A45E4E" w:rsidRDefault="00000000">
          <w:pPr>
            <w:pStyle w:val="TOC1"/>
            <w:rPr>
              <w:rFonts w:eastAsiaTheme="minorEastAsia"/>
              <w:noProof/>
              <w:lang w:eastAsia="en-AU"/>
            </w:rPr>
          </w:pPr>
          <w:hyperlink w:anchor="_Toc156305602" w:history="1">
            <w:r w:rsidR="00A45E4E" w:rsidRPr="00037E26">
              <w:rPr>
                <w:rStyle w:val="Hyperlink"/>
                <w:rFonts w:ascii="Arial" w:hAnsi="Arial" w:cs="Arial"/>
                <w:b/>
                <w:bCs/>
                <w:noProof/>
              </w:rPr>
              <w:t>Housing Stress by Region</w:t>
            </w:r>
            <w:r w:rsidR="00A45E4E">
              <w:rPr>
                <w:noProof/>
                <w:webHidden/>
              </w:rPr>
              <w:tab/>
            </w:r>
            <w:r w:rsidR="00A45E4E">
              <w:rPr>
                <w:noProof/>
                <w:webHidden/>
              </w:rPr>
              <w:fldChar w:fldCharType="begin"/>
            </w:r>
            <w:r w:rsidR="00A45E4E">
              <w:rPr>
                <w:noProof/>
                <w:webHidden/>
              </w:rPr>
              <w:instrText xml:space="preserve"> PAGEREF _Toc156305602 \h </w:instrText>
            </w:r>
            <w:r w:rsidR="00A45E4E">
              <w:rPr>
                <w:noProof/>
                <w:webHidden/>
              </w:rPr>
            </w:r>
            <w:r w:rsidR="00A45E4E">
              <w:rPr>
                <w:noProof/>
                <w:webHidden/>
              </w:rPr>
              <w:fldChar w:fldCharType="separate"/>
            </w:r>
            <w:r w:rsidR="00FA1126">
              <w:rPr>
                <w:noProof/>
                <w:webHidden/>
              </w:rPr>
              <w:t>12</w:t>
            </w:r>
            <w:r w:rsidR="00A45E4E">
              <w:rPr>
                <w:noProof/>
                <w:webHidden/>
              </w:rPr>
              <w:fldChar w:fldCharType="end"/>
            </w:r>
          </w:hyperlink>
        </w:p>
        <w:p w14:paraId="3440D329" w14:textId="73C15E86" w:rsidR="00A45E4E" w:rsidRDefault="00000000">
          <w:pPr>
            <w:pStyle w:val="TOC1"/>
            <w:rPr>
              <w:rFonts w:eastAsiaTheme="minorEastAsia"/>
              <w:noProof/>
              <w:lang w:eastAsia="en-AU"/>
            </w:rPr>
          </w:pPr>
          <w:hyperlink w:anchor="_Toc156305603" w:history="1">
            <w:r w:rsidR="00A45E4E" w:rsidRPr="00037E26">
              <w:rPr>
                <w:rStyle w:val="Hyperlink"/>
                <w:rFonts w:ascii="Arial" w:hAnsi="Arial" w:cs="Arial"/>
                <w:b/>
                <w:bCs/>
                <w:noProof/>
              </w:rPr>
              <w:t>Household Stress</w:t>
            </w:r>
            <w:r w:rsidR="00A45E4E">
              <w:rPr>
                <w:noProof/>
                <w:webHidden/>
              </w:rPr>
              <w:tab/>
            </w:r>
            <w:r w:rsidR="00A45E4E">
              <w:rPr>
                <w:noProof/>
                <w:webHidden/>
              </w:rPr>
              <w:fldChar w:fldCharType="begin"/>
            </w:r>
            <w:r w:rsidR="00A45E4E">
              <w:rPr>
                <w:noProof/>
                <w:webHidden/>
              </w:rPr>
              <w:instrText xml:space="preserve"> PAGEREF _Toc156305603 \h </w:instrText>
            </w:r>
            <w:r w:rsidR="00A45E4E">
              <w:rPr>
                <w:noProof/>
                <w:webHidden/>
              </w:rPr>
            </w:r>
            <w:r w:rsidR="00A45E4E">
              <w:rPr>
                <w:noProof/>
                <w:webHidden/>
              </w:rPr>
              <w:fldChar w:fldCharType="separate"/>
            </w:r>
            <w:r w:rsidR="00FA1126">
              <w:rPr>
                <w:noProof/>
                <w:webHidden/>
              </w:rPr>
              <w:t>13</w:t>
            </w:r>
            <w:r w:rsidR="00A45E4E">
              <w:rPr>
                <w:noProof/>
                <w:webHidden/>
              </w:rPr>
              <w:fldChar w:fldCharType="end"/>
            </w:r>
          </w:hyperlink>
        </w:p>
        <w:p w14:paraId="35F1A13D" w14:textId="26E23C29" w:rsidR="00A45E4E" w:rsidRDefault="00000000">
          <w:pPr>
            <w:pStyle w:val="TOC1"/>
            <w:rPr>
              <w:rFonts w:eastAsiaTheme="minorEastAsia"/>
              <w:noProof/>
              <w:lang w:eastAsia="en-AU"/>
            </w:rPr>
          </w:pPr>
          <w:hyperlink w:anchor="_Toc156305604" w:history="1">
            <w:r w:rsidR="00A45E4E" w:rsidRPr="00037E26">
              <w:rPr>
                <w:rStyle w:val="Hyperlink"/>
                <w:rFonts w:ascii="Arial" w:hAnsi="Arial" w:cs="Arial"/>
                <w:b/>
                <w:bCs/>
                <w:noProof/>
              </w:rPr>
              <w:t>Overall Mortgage Payments</w:t>
            </w:r>
            <w:r w:rsidR="00A45E4E">
              <w:rPr>
                <w:noProof/>
                <w:webHidden/>
              </w:rPr>
              <w:tab/>
            </w:r>
            <w:r w:rsidR="00A45E4E">
              <w:rPr>
                <w:noProof/>
                <w:webHidden/>
              </w:rPr>
              <w:fldChar w:fldCharType="begin"/>
            </w:r>
            <w:r w:rsidR="00A45E4E">
              <w:rPr>
                <w:noProof/>
                <w:webHidden/>
              </w:rPr>
              <w:instrText xml:space="preserve"> PAGEREF _Toc156305604 \h </w:instrText>
            </w:r>
            <w:r w:rsidR="00A45E4E">
              <w:rPr>
                <w:noProof/>
                <w:webHidden/>
              </w:rPr>
            </w:r>
            <w:r w:rsidR="00A45E4E">
              <w:rPr>
                <w:noProof/>
                <w:webHidden/>
              </w:rPr>
              <w:fldChar w:fldCharType="separate"/>
            </w:r>
            <w:r w:rsidR="00FA1126">
              <w:rPr>
                <w:noProof/>
                <w:webHidden/>
              </w:rPr>
              <w:t>13</w:t>
            </w:r>
            <w:r w:rsidR="00A45E4E">
              <w:rPr>
                <w:noProof/>
                <w:webHidden/>
              </w:rPr>
              <w:fldChar w:fldCharType="end"/>
            </w:r>
          </w:hyperlink>
        </w:p>
        <w:p w14:paraId="11C376BB" w14:textId="117D24D4" w:rsidR="00A45E4E" w:rsidRDefault="00000000">
          <w:pPr>
            <w:pStyle w:val="TOC1"/>
            <w:rPr>
              <w:rFonts w:eastAsiaTheme="minorEastAsia"/>
              <w:noProof/>
              <w:lang w:eastAsia="en-AU"/>
            </w:rPr>
          </w:pPr>
          <w:hyperlink w:anchor="_Toc156305605" w:history="1">
            <w:r w:rsidR="00A45E4E" w:rsidRPr="00037E26">
              <w:rPr>
                <w:rStyle w:val="Hyperlink"/>
                <w:rFonts w:ascii="Arial" w:hAnsi="Arial" w:cs="Arial"/>
                <w:b/>
                <w:bCs/>
                <w:noProof/>
              </w:rPr>
              <w:t>Median Weekly and Median Monthly Mortgage Payments</w:t>
            </w:r>
            <w:r w:rsidR="00A45E4E">
              <w:rPr>
                <w:noProof/>
                <w:webHidden/>
              </w:rPr>
              <w:tab/>
            </w:r>
            <w:r w:rsidR="00A45E4E">
              <w:rPr>
                <w:noProof/>
                <w:webHidden/>
              </w:rPr>
              <w:fldChar w:fldCharType="begin"/>
            </w:r>
            <w:r w:rsidR="00A45E4E">
              <w:rPr>
                <w:noProof/>
                <w:webHidden/>
              </w:rPr>
              <w:instrText xml:space="preserve"> PAGEREF _Toc156305605 \h </w:instrText>
            </w:r>
            <w:r w:rsidR="00A45E4E">
              <w:rPr>
                <w:noProof/>
                <w:webHidden/>
              </w:rPr>
            </w:r>
            <w:r w:rsidR="00A45E4E">
              <w:rPr>
                <w:noProof/>
                <w:webHidden/>
              </w:rPr>
              <w:fldChar w:fldCharType="separate"/>
            </w:r>
            <w:r w:rsidR="00FA1126">
              <w:rPr>
                <w:noProof/>
                <w:webHidden/>
              </w:rPr>
              <w:t>14</w:t>
            </w:r>
            <w:r w:rsidR="00A45E4E">
              <w:rPr>
                <w:noProof/>
                <w:webHidden/>
              </w:rPr>
              <w:fldChar w:fldCharType="end"/>
            </w:r>
          </w:hyperlink>
        </w:p>
        <w:p w14:paraId="12AEA80C" w14:textId="1264C77D" w:rsidR="00A45E4E" w:rsidRDefault="00000000">
          <w:pPr>
            <w:pStyle w:val="TOC1"/>
            <w:rPr>
              <w:rFonts w:eastAsiaTheme="minorEastAsia"/>
              <w:noProof/>
              <w:lang w:eastAsia="en-AU"/>
            </w:rPr>
          </w:pPr>
          <w:hyperlink w:anchor="_Toc156305606" w:history="1">
            <w:r w:rsidR="00A45E4E" w:rsidRPr="00037E26">
              <w:rPr>
                <w:rStyle w:val="Hyperlink"/>
                <w:rFonts w:ascii="Arial" w:hAnsi="Arial" w:cs="Arial"/>
                <w:b/>
                <w:bCs/>
                <w:noProof/>
              </w:rPr>
              <w:t>Industry of Employment – Persons Aged 15 Years and Over</w:t>
            </w:r>
            <w:r w:rsidR="00A45E4E">
              <w:rPr>
                <w:noProof/>
                <w:webHidden/>
              </w:rPr>
              <w:tab/>
            </w:r>
            <w:r w:rsidR="00A45E4E">
              <w:rPr>
                <w:noProof/>
                <w:webHidden/>
              </w:rPr>
              <w:fldChar w:fldCharType="begin"/>
            </w:r>
            <w:r w:rsidR="00A45E4E">
              <w:rPr>
                <w:noProof/>
                <w:webHidden/>
              </w:rPr>
              <w:instrText xml:space="preserve"> PAGEREF _Toc156305606 \h </w:instrText>
            </w:r>
            <w:r w:rsidR="00A45E4E">
              <w:rPr>
                <w:noProof/>
                <w:webHidden/>
              </w:rPr>
            </w:r>
            <w:r w:rsidR="00A45E4E">
              <w:rPr>
                <w:noProof/>
                <w:webHidden/>
              </w:rPr>
              <w:fldChar w:fldCharType="separate"/>
            </w:r>
            <w:r w:rsidR="00FA1126">
              <w:rPr>
                <w:noProof/>
                <w:webHidden/>
              </w:rPr>
              <w:t>15</w:t>
            </w:r>
            <w:r w:rsidR="00A45E4E">
              <w:rPr>
                <w:noProof/>
                <w:webHidden/>
              </w:rPr>
              <w:fldChar w:fldCharType="end"/>
            </w:r>
          </w:hyperlink>
        </w:p>
        <w:p w14:paraId="51718C1B" w14:textId="6FCB38B7" w:rsidR="00A45E4E" w:rsidRDefault="00000000">
          <w:pPr>
            <w:pStyle w:val="TOC1"/>
            <w:rPr>
              <w:rFonts w:eastAsiaTheme="minorEastAsia"/>
              <w:noProof/>
              <w:lang w:eastAsia="en-AU"/>
            </w:rPr>
          </w:pPr>
          <w:hyperlink w:anchor="_Toc156305607" w:history="1">
            <w:r w:rsidR="00A45E4E" w:rsidRPr="00037E26">
              <w:rPr>
                <w:rStyle w:val="Hyperlink"/>
                <w:rFonts w:ascii="Arial" w:hAnsi="Arial" w:cs="Arial"/>
                <w:b/>
                <w:bCs/>
                <w:noProof/>
              </w:rPr>
              <w:t>Core Activity Need for Assistance</w:t>
            </w:r>
            <w:r w:rsidR="00A45E4E">
              <w:rPr>
                <w:noProof/>
                <w:webHidden/>
              </w:rPr>
              <w:tab/>
            </w:r>
            <w:r w:rsidR="00A45E4E">
              <w:rPr>
                <w:noProof/>
                <w:webHidden/>
              </w:rPr>
              <w:fldChar w:fldCharType="begin"/>
            </w:r>
            <w:r w:rsidR="00A45E4E">
              <w:rPr>
                <w:noProof/>
                <w:webHidden/>
              </w:rPr>
              <w:instrText xml:space="preserve"> PAGEREF _Toc156305607 \h </w:instrText>
            </w:r>
            <w:r w:rsidR="00A45E4E">
              <w:rPr>
                <w:noProof/>
                <w:webHidden/>
              </w:rPr>
            </w:r>
            <w:r w:rsidR="00A45E4E">
              <w:rPr>
                <w:noProof/>
                <w:webHidden/>
              </w:rPr>
              <w:fldChar w:fldCharType="separate"/>
            </w:r>
            <w:r w:rsidR="00FA1126">
              <w:rPr>
                <w:noProof/>
                <w:webHidden/>
              </w:rPr>
              <w:t>16</w:t>
            </w:r>
            <w:r w:rsidR="00A45E4E">
              <w:rPr>
                <w:noProof/>
                <w:webHidden/>
              </w:rPr>
              <w:fldChar w:fldCharType="end"/>
            </w:r>
          </w:hyperlink>
        </w:p>
        <w:p w14:paraId="0C18C70C" w14:textId="0B8F4FBF" w:rsidR="00A45E4E" w:rsidRDefault="00000000">
          <w:pPr>
            <w:pStyle w:val="TOC1"/>
            <w:rPr>
              <w:rFonts w:eastAsiaTheme="minorEastAsia"/>
              <w:noProof/>
              <w:lang w:eastAsia="en-AU"/>
            </w:rPr>
          </w:pPr>
          <w:hyperlink w:anchor="_Toc156305608" w:history="1">
            <w:r w:rsidR="00A45E4E" w:rsidRPr="00037E26">
              <w:rPr>
                <w:rStyle w:val="Hyperlink"/>
                <w:rFonts w:ascii="Arial" w:hAnsi="Arial" w:cs="Arial"/>
                <w:b/>
                <w:bCs/>
                <w:noProof/>
              </w:rPr>
              <w:t>Regional SEIFA Scores and Percentiles</w:t>
            </w:r>
            <w:r w:rsidR="00A45E4E">
              <w:rPr>
                <w:noProof/>
                <w:webHidden/>
              </w:rPr>
              <w:tab/>
            </w:r>
            <w:r w:rsidR="00A45E4E">
              <w:rPr>
                <w:noProof/>
                <w:webHidden/>
              </w:rPr>
              <w:fldChar w:fldCharType="begin"/>
            </w:r>
            <w:r w:rsidR="00A45E4E">
              <w:rPr>
                <w:noProof/>
                <w:webHidden/>
              </w:rPr>
              <w:instrText xml:space="preserve"> PAGEREF _Toc156305608 \h </w:instrText>
            </w:r>
            <w:r w:rsidR="00A45E4E">
              <w:rPr>
                <w:noProof/>
                <w:webHidden/>
              </w:rPr>
            </w:r>
            <w:r w:rsidR="00A45E4E">
              <w:rPr>
                <w:noProof/>
                <w:webHidden/>
              </w:rPr>
              <w:fldChar w:fldCharType="separate"/>
            </w:r>
            <w:r w:rsidR="00FA1126">
              <w:rPr>
                <w:noProof/>
                <w:webHidden/>
              </w:rPr>
              <w:t>16</w:t>
            </w:r>
            <w:r w:rsidR="00A45E4E">
              <w:rPr>
                <w:noProof/>
                <w:webHidden/>
              </w:rPr>
              <w:fldChar w:fldCharType="end"/>
            </w:r>
          </w:hyperlink>
        </w:p>
        <w:p w14:paraId="2D98C5AB" w14:textId="6EC44EFA" w:rsidR="00A45E4E" w:rsidRDefault="00000000">
          <w:pPr>
            <w:pStyle w:val="TOC1"/>
            <w:rPr>
              <w:rFonts w:eastAsiaTheme="minorEastAsia"/>
              <w:noProof/>
              <w:lang w:eastAsia="en-AU"/>
            </w:rPr>
          </w:pPr>
          <w:hyperlink w:anchor="_Toc156305609" w:history="1">
            <w:r w:rsidR="00A45E4E" w:rsidRPr="00037E26">
              <w:rPr>
                <w:rStyle w:val="Hyperlink"/>
                <w:rFonts w:ascii="Arial" w:hAnsi="Arial" w:cs="Arial"/>
                <w:b/>
                <w:bCs/>
                <w:noProof/>
              </w:rPr>
              <w:t>Area Level SEIFA Scores and Percentiles</w:t>
            </w:r>
            <w:r w:rsidR="00A45E4E">
              <w:rPr>
                <w:noProof/>
                <w:webHidden/>
              </w:rPr>
              <w:tab/>
            </w:r>
            <w:r w:rsidR="00A45E4E">
              <w:rPr>
                <w:noProof/>
                <w:webHidden/>
              </w:rPr>
              <w:fldChar w:fldCharType="begin"/>
            </w:r>
            <w:r w:rsidR="00A45E4E">
              <w:rPr>
                <w:noProof/>
                <w:webHidden/>
              </w:rPr>
              <w:instrText xml:space="preserve"> PAGEREF _Toc156305609 \h </w:instrText>
            </w:r>
            <w:r w:rsidR="00A45E4E">
              <w:rPr>
                <w:noProof/>
                <w:webHidden/>
              </w:rPr>
            </w:r>
            <w:r w:rsidR="00A45E4E">
              <w:rPr>
                <w:noProof/>
                <w:webHidden/>
              </w:rPr>
              <w:fldChar w:fldCharType="separate"/>
            </w:r>
            <w:r w:rsidR="00FA1126">
              <w:rPr>
                <w:noProof/>
                <w:webHidden/>
              </w:rPr>
              <w:t>17</w:t>
            </w:r>
            <w:r w:rsidR="00A45E4E">
              <w:rPr>
                <w:noProof/>
                <w:webHidden/>
              </w:rPr>
              <w:fldChar w:fldCharType="end"/>
            </w:r>
          </w:hyperlink>
        </w:p>
        <w:p w14:paraId="58E3EE56" w14:textId="12178D1B" w:rsidR="00A45E4E" w:rsidRDefault="00000000">
          <w:pPr>
            <w:pStyle w:val="TOC1"/>
            <w:rPr>
              <w:rFonts w:eastAsiaTheme="minorEastAsia"/>
              <w:noProof/>
              <w:lang w:eastAsia="en-AU"/>
            </w:rPr>
          </w:pPr>
          <w:hyperlink w:anchor="_Toc156305610" w:history="1">
            <w:r w:rsidR="00A45E4E" w:rsidRPr="00037E26">
              <w:rPr>
                <w:rStyle w:val="Hyperlink"/>
                <w:rFonts w:ascii="Arial" w:hAnsi="Arial" w:cs="Arial"/>
                <w:b/>
                <w:bCs/>
                <w:noProof/>
              </w:rPr>
              <w:t>Hardship Applications and Outstanding Rates</w:t>
            </w:r>
            <w:r w:rsidR="00A45E4E">
              <w:rPr>
                <w:noProof/>
                <w:webHidden/>
              </w:rPr>
              <w:tab/>
            </w:r>
            <w:r w:rsidR="00A45E4E">
              <w:rPr>
                <w:noProof/>
                <w:webHidden/>
              </w:rPr>
              <w:fldChar w:fldCharType="begin"/>
            </w:r>
            <w:r w:rsidR="00A45E4E">
              <w:rPr>
                <w:noProof/>
                <w:webHidden/>
              </w:rPr>
              <w:instrText xml:space="preserve"> PAGEREF _Toc156305610 \h </w:instrText>
            </w:r>
            <w:r w:rsidR="00A45E4E">
              <w:rPr>
                <w:noProof/>
                <w:webHidden/>
              </w:rPr>
            </w:r>
            <w:r w:rsidR="00A45E4E">
              <w:rPr>
                <w:noProof/>
                <w:webHidden/>
              </w:rPr>
              <w:fldChar w:fldCharType="separate"/>
            </w:r>
            <w:r w:rsidR="00FA1126">
              <w:rPr>
                <w:noProof/>
                <w:webHidden/>
              </w:rPr>
              <w:t>17</w:t>
            </w:r>
            <w:r w:rsidR="00A45E4E">
              <w:rPr>
                <w:noProof/>
                <w:webHidden/>
              </w:rPr>
              <w:fldChar w:fldCharType="end"/>
            </w:r>
          </w:hyperlink>
        </w:p>
        <w:p w14:paraId="3B3B4271" w14:textId="3665E278" w:rsidR="00A45E4E" w:rsidRDefault="00000000">
          <w:pPr>
            <w:pStyle w:val="TOC1"/>
            <w:rPr>
              <w:rFonts w:eastAsiaTheme="minorEastAsia"/>
              <w:noProof/>
              <w:lang w:eastAsia="en-AU"/>
            </w:rPr>
          </w:pPr>
          <w:hyperlink w:anchor="_Toc156305611" w:history="1">
            <w:r w:rsidR="00A45E4E" w:rsidRPr="00037E26">
              <w:rPr>
                <w:rStyle w:val="Hyperlink"/>
                <w:rFonts w:ascii="Arial" w:hAnsi="Arial" w:cs="Arial"/>
                <w:b/>
                <w:bCs/>
                <w:noProof/>
              </w:rPr>
              <w:t>Conclusion</w:t>
            </w:r>
            <w:r w:rsidR="00A45E4E">
              <w:rPr>
                <w:noProof/>
                <w:webHidden/>
              </w:rPr>
              <w:tab/>
            </w:r>
            <w:r w:rsidR="00A45E4E">
              <w:rPr>
                <w:noProof/>
                <w:webHidden/>
              </w:rPr>
              <w:fldChar w:fldCharType="begin"/>
            </w:r>
            <w:r w:rsidR="00A45E4E">
              <w:rPr>
                <w:noProof/>
                <w:webHidden/>
              </w:rPr>
              <w:instrText xml:space="preserve"> PAGEREF _Toc156305611 \h </w:instrText>
            </w:r>
            <w:r w:rsidR="00A45E4E">
              <w:rPr>
                <w:noProof/>
                <w:webHidden/>
              </w:rPr>
            </w:r>
            <w:r w:rsidR="00A45E4E">
              <w:rPr>
                <w:noProof/>
                <w:webHidden/>
              </w:rPr>
              <w:fldChar w:fldCharType="separate"/>
            </w:r>
            <w:r w:rsidR="00FA1126">
              <w:rPr>
                <w:noProof/>
                <w:webHidden/>
              </w:rPr>
              <w:t>18</w:t>
            </w:r>
            <w:r w:rsidR="00A45E4E">
              <w:rPr>
                <w:noProof/>
                <w:webHidden/>
              </w:rPr>
              <w:fldChar w:fldCharType="end"/>
            </w:r>
          </w:hyperlink>
        </w:p>
        <w:p w14:paraId="681D4AF7" w14:textId="6B70C3C9" w:rsidR="00577C01" w:rsidRPr="00C21AF5" w:rsidRDefault="00577C01">
          <w:pPr>
            <w:rPr>
              <w:rFonts w:ascii="Avenir Next LT Pro Light" w:hAnsi="Avenir Next LT Pro Light"/>
            </w:rPr>
          </w:pPr>
          <w:r w:rsidRPr="000D3C9C">
            <w:rPr>
              <w:rFonts w:ascii="Arial" w:hAnsi="Arial" w:cs="Arial"/>
              <w:b/>
              <w:bCs/>
              <w:noProof/>
            </w:rPr>
            <w:fldChar w:fldCharType="end"/>
          </w:r>
        </w:p>
      </w:sdtContent>
    </w:sdt>
    <w:p w14:paraId="58B2CA61" w14:textId="77777777" w:rsidR="00577C01" w:rsidRPr="00C21AF5" w:rsidRDefault="00577C01">
      <w:pPr>
        <w:rPr>
          <w:rFonts w:ascii="Avenir Next LT Pro" w:hAnsi="Avenir Next LT Pro"/>
        </w:rPr>
      </w:pPr>
    </w:p>
    <w:p w14:paraId="103F45B5" w14:textId="726A2E86" w:rsidR="00830E52" w:rsidRPr="00C21AF5" w:rsidRDefault="00577C01" w:rsidP="00577C01">
      <w:pPr>
        <w:tabs>
          <w:tab w:val="left" w:pos="7655"/>
        </w:tabs>
        <w:rPr>
          <w:rFonts w:ascii="Avenir Next LT Pro" w:hAnsi="Avenir Next LT Pro"/>
        </w:rPr>
      </w:pPr>
      <w:r w:rsidRPr="00C21AF5">
        <w:rPr>
          <w:rFonts w:ascii="Avenir Next LT Pro" w:hAnsi="Avenir Next LT Pro"/>
        </w:rPr>
        <w:tab/>
        <w:t xml:space="preserve"> </w:t>
      </w:r>
      <w:r w:rsidR="00830E52" w:rsidRPr="00C21AF5">
        <w:rPr>
          <w:rFonts w:ascii="Avenir Next LT Pro" w:hAnsi="Avenir Next LT Pro"/>
        </w:rPr>
        <w:br w:type="page"/>
      </w:r>
    </w:p>
    <w:p w14:paraId="55F8EC09" w14:textId="1D5E843D" w:rsidR="00830E52" w:rsidRPr="00C21AF5" w:rsidRDefault="00830E52" w:rsidP="00577C01">
      <w:pPr>
        <w:pStyle w:val="Heading1"/>
        <w:rPr>
          <w:rFonts w:ascii="Arial" w:hAnsi="Arial" w:cs="Arial"/>
          <w:b/>
          <w:bCs/>
          <w:sz w:val="22"/>
          <w:szCs w:val="22"/>
        </w:rPr>
      </w:pPr>
      <w:bookmarkStart w:id="0" w:name="_Toc156305587"/>
      <w:r w:rsidRPr="00C21AF5">
        <w:rPr>
          <w:rFonts w:ascii="Arial" w:hAnsi="Arial" w:cs="Arial"/>
          <w:b/>
          <w:bCs/>
          <w:sz w:val="22"/>
          <w:szCs w:val="22"/>
        </w:rPr>
        <w:lastRenderedPageBreak/>
        <w:t>Executive Summary</w:t>
      </w:r>
      <w:bookmarkEnd w:id="0"/>
    </w:p>
    <w:p w14:paraId="5974A944" w14:textId="353093CF" w:rsidR="00D006B6" w:rsidRPr="001F4A89" w:rsidRDefault="000E3A77" w:rsidP="00B64CCE">
      <w:pPr>
        <w:jc w:val="both"/>
        <w:rPr>
          <w:rFonts w:ascii="Arial" w:hAnsi="Arial" w:cs="Arial"/>
        </w:rPr>
      </w:pPr>
      <w:r w:rsidRPr="001F4A89">
        <w:rPr>
          <w:rFonts w:ascii="Arial" w:hAnsi="Arial" w:cs="Arial"/>
        </w:rPr>
        <w:t>S</w:t>
      </w:r>
      <w:r w:rsidR="0067205C" w:rsidRPr="001F4A89">
        <w:rPr>
          <w:rFonts w:ascii="Arial" w:hAnsi="Arial" w:cs="Arial"/>
        </w:rPr>
        <w:t>nowy Valleys Council</w:t>
      </w:r>
      <w:r w:rsidR="00D006B6" w:rsidRPr="001F4A89">
        <w:rPr>
          <w:rFonts w:ascii="Arial" w:hAnsi="Arial" w:cs="Arial"/>
        </w:rPr>
        <w:t xml:space="preserve"> (SVC) presently faces financial unsustainability, despite proactive efforts to enhance its fiscal </w:t>
      </w:r>
      <w:r w:rsidR="006C0CB3" w:rsidRPr="001F4A89">
        <w:rPr>
          <w:rFonts w:ascii="Arial" w:hAnsi="Arial" w:cs="Arial"/>
        </w:rPr>
        <w:t>position over recent years</w:t>
      </w:r>
      <w:r w:rsidR="00D006B6" w:rsidRPr="001F4A89">
        <w:rPr>
          <w:rFonts w:ascii="Arial" w:hAnsi="Arial" w:cs="Arial"/>
        </w:rPr>
        <w:t xml:space="preserve">. These initiatives, though ongoing, are deemed insufficient to effectively address the fundamental challenges over the long term. </w:t>
      </w:r>
    </w:p>
    <w:p w14:paraId="7CA0787A" w14:textId="1F071038" w:rsidR="00BF6F45" w:rsidRPr="001F4A89" w:rsidRDefault="00D006B6" w:rsidP="00B64CCE">
      <w:pPr>
        <w:jc w:val="both"/>
        <w:rPr>
          <w:rFonts w:ascii="Arial" w:hAnsi="Arial" w:cs="Arial"/>
        </w:rPr>
      </w:pPr>
      <w:r w:rsidRPr="001F4A89">
        <w:rPr>
          <w:rFonts w:ascii="Arial" w:hAnsi="Arial" w:cs="Arial"/>
        </w:rPr>
        <w:t xml:space="preserve">Therefore, </w:t>
      </w:r>
      <w:r w:rsidR="0077099B" w:rsidRPr="001F4A89">
        <w:rPr>
          <w:rFonts w:ascii="Arial" w:hAnsi="Arial" w:cs="Arial"/>
        </w:rPr>
        <w:t>Council</w:t>
      </w:r>
      <w:r w:rsidRPr="001F4A89">
        <w:rPr>
          <w:rFonts w:ascii="Arial" w:hAnsi="Arial" w:cs="Arial"/>
        </w:rPr>
        <w:t xml:space="preserve"> is evaluating the feasibility of a Special Rate Variation (SRV) and assessing its potential impact on the community. This report places importance on the principle of capacity to pay, recognising that certain ratepayers may possess greater financial capacity to meet rate obligations than others.</w:t>
      </w:r>
    </w:p>
    <w:p w14:paraId="74E33422" w14:textId="739A2C40" w:rsidR="00830E52" w:rsidRPr="001F4A89" w:rsidRDefault="00830E52" w:rsidP="00B64CCE">
      <w:pPr>
        <w:pStyle w:val="Heading1"/>
        <w:jc w:val="both"/>
        <w:rPr>
          <w:rFonts w:ascii="Arial" w:hAnsi="Arial" w:cs="Arial"/>
          <w:b/>
          <w:bCs/>
          <w:sz w:val="22"/>
          <w:szCs w:val="22"/>
        </w:rPr>
      </w:pPr>
      <w:bookmarkStart w:id="1" w:name="_Toc156305588"/>
      <w:r w:rsidRPr="001F4A89">
        <w:rPr>
          <w:rFonts w:ascii="Arial" w:hAnsi="Arial" w:cs="Arial"/>
          <w:b/>
          <w:bCs/>
          <w:sz w:val="22"/>
          <w:szCs w:val="22"/>
        </w:rPr>
        <w:t>Introduction</w:t>
      </w:r>
      <w:bookmarkEnd w:id="1"/>
    </w:p>
    <w:p w14:paraId="0AC61366" w14:textId="16797FED" w:rsidR="00D006B6" w:rsidRPr="001F4A89" w:rsidRDefault="0077099B" w:rsidP="00B64CCE">
      <w:pPr>
        <w:jc w:val="both"/>
        <w:rPr>
          <w:rFonts w:ascii="Arial" w:eastAsia="Calibri" w:hAnsi="Arial" w:cs="Arial"/>
          <w:kern w:val="0"/>
          <w:lang w:val="en-US"/>
          <w14:ligatures w14:val="none"/>
        </w:rPr>
      </w:pPr>
      <w:r w:rsidRPr="001F4A89">
        <w:rPr>
          <w:rFonts w:ascii="Arial" w:eastAsia="Calibri" w:hAnsi="Arial" w:cs="Arial"/>
          <w:kern w:val="0"/>
          <w:lang w:val="en-US"/>
          <w14:ligatures w14:val="none"/>
        </w:rPr>
        <w:t>Council’s</w:t>
      </w:r>
      <w:r w:rsidR="00D006B6" w:rsidRPr="001F4A89">
        <w:rPr>
          <w:rFonts w:ascii="Arial" w:eastAsia="Calibri" w:hAnsi="Arial" w:cs="Arial"/>
          <w:kern w:val="0"/>
          <w:lang w:val="en-US"/>
          <w14:ligatures w14:val="none"/>
        </w:rPr>
        <w:t xml:space="preserve"> financial position is unsustainable with the current </w:t>
      </w:r>
      <w:r w:rsidR="00D1097A" w:rsidRPr="001F4A89">
        <w:rPr>
          <w:rFonts w:ascii="Arial" w:eastAsia="Calibri" w:hAnsi="Arial" w:cs="Arial"/>
          <w:kern w:val="0"/>
          <w:lang w:val="en-US"/>
          <w14:ligatures w14:val="none"/>
        </w:rPr>
        <w:t xml:space="preserve">levels of </w:t>
      </w:r>
      <w:r w:rsidR="00D006B6" w:rsidRPr="001F4A89">
        <w:rPr>
          <w:rFonts w:ascii="Arial" w:eastAsia="Calibri" w:hAnsi="Arial" w:cs="Arial"/>
          <w:kern w:val="0"/>
          <w:lang w:val="en-US"/>
          <w14:ligatures w14:val="none"/>
        </w:rPr>
        <w:t>income and expenditure</w:t>
      </w:r>
      <w:r w:rsidR="002E0D67" w:rsidRPr="001F4A89">
        <w:rPr>
          <w:rFonts w:ascii="Arial" w:eastAsia="Calibri" w:hAnsi="Arial" w:cs="Arial"/>
          <w:kern w:val="0"/>
          <w:lang w:val="en-US"/>
          <w14:ligatures w14:val="none"/>
        </w:rPr>
        <w:t>.</w:t>
      </w:r>
      <w:r w:rsidR="00D006B6" w:rsidRPr="001F4A89">
        <w:rPr>
          <w:rFonts w:ascii="Arial" w:eastAsia="Calibri" w:hAnsi="Arial" w:cs="Arial"/>
          <w:kern w:val="0"/>
          <w:lang w:val="en-US"/>
          <w14:ligatures w14:val="none"/>
        </w:rPr>
        <w:t xml:space="preserve"> Whil</w:t>
      </w:r>
      <w:r w:rsidR="002634DD" w:rsidRPr="001F4A89">
        <w:rPr>
          <w:rFonts w:ascii="Arial" w:eastAsia="Calibri" w:hAnsi="Arial" w:cs="Arial"/>
          <w:kern w:val="0"/>
          <w:lang w:val="en-US"/>
          <w14:ligatures w14:val="none"/>
        </w:rPr>
        <w:t>st C</w:t>
      </w:r>
      <w:r w:rsidR="00D006B6" w:rsidRPr="001F4A89">
        <w:rPr>
          <w:rFonts w:ascii="Arial" w:eastAsia="Calibri" w:hAnsi="Arial" w:cs="Arial"/>
          <w:kern w:val="0"/>
          <w:lang w:val="en-US"/>
          <w14:ligatures w14:val="none"/>
        </w:rPr>
        <w:t xml:space="preserve">ouncil has implemented significant changes to enhance its sustainability, these measures alone will </w:t>
      </w:r>
      <w:r w:rsidR="002634DD" w:rsidRPr="001F4A89">
        <w:rPr>
          <w:rFonts w:ascii="Arial" w:eastAsia="Calibri" w:hAnsi="Arial" w:cs="Arial"/>
          <w:kern w:val="0"/>
          <w:lang w:val="en-US"/>
          <w14:ligatures w14:val="none"/>
        </w:rPr>
        <w:t xml:space="preserve">not </w:t>
      </w:r>
      <w:r w:rsidR="00D006B6" w:rsidRPr="001F4A89">
        <w:rPr>
          <w:rFonts w:ascii="Arial" w:eastAsia="Calibri" w:hAnsi="Arial" w:cs="Arial"/>
          <w:kern w:val="0"/>
          <w:lang w:val="en-US"/>
          <w14:ligatures w14:val="none"/>
        </w:rPr>
        <w:t xml:space="preserve">suffice in the long </w:t>
      </w:r>
      <w:r w:rsidR="00E36015" w:rsidRPr="001F4A89">
        <w:rPr>
          <w:rFonts w:ascii="Arial" w:eastAsia="Calibri" w:hAnsi="Arial" w:cs="Arial"/>
          <w:kern w:val="0"/>
          <w:lang w:val="en-US"/>
          <w14:ligatures w14:val="none"/>
        </w:rPr>
        <w:t>term</w:t>
      </w:r>
      <w:r w:rsidR="00D006B6" w:rsidRPr="001F4A89">
        <w:rPr>
          <w:rFonts w:ascii="Arial" w:eastAsia="Calibri" w:hAnsi="Arial" w:cs="Arial"/>
          <w:kern w:val="0"/>
          <w:lang w:val="en-US"/>
          <w14:ligatures w14:val="none"/>
        </w:rPr>
        <w:t>.</w:t>
      </w:r>
    </w:p>
    <w:p w14:paraId="7AE66293" w14:textId="1E107DBB" w:rsidR="00D006B6" w:rsidRPr="001F4A89" w:rsidRDefault="00D006B6" w:rsidP="00B64CCE">
      <w:pPr>
        <w:jc w:val="both"/>
        <w:rPr>
          <w:rFonts w:ascii="Arial" w:eastAsia="Calibri" w:hAnsi="Arial" w:cs="Arial"/>
          <w:kern w:val="0"/>
          <w:lang w:val="en-US"/>
          <w14:ligatures w14:val="none"/>
        </w:rPr>
      </w:pPr>
      <w:r w:rsidRPr="001F4A89">
        <w:rPr>
          <w:rFonts w:ascii="Arial" w:eastAsia="Calibri" w:hAnsi="Arial" w:cs="Arial"/>
          <w:kern w:val="0"/>
          <w:lang w:val="en-US"/>
          <w14:ligatures w14:val="none"/>
        </w:rPr>
        <w:t xml:space="preserve">Consequently, SVC is actively exploring strategies to address its ongoing financial challenges, one of which is considering a permanent Special Rate Variation (SRV). Several factors, including equity and capacity to pay, have been </w:t>
      </w:r>
      <w:proofErr w:type="gramStart"/>
      <w:r w:rsidRPr="001F4A89">
        <w:rPr>
          <w:rFonts w:ascii="Arial" w:eastAsia="Calibri" w:hAnsi="Arial" w:cs="Arial"/>
          <w:kern w:val="0"/>
          <w:lang w:val="en-US"/>
          <w14:ligatures w14:val="none"/>
        </w:rPr>
        <w:t>taken into account</w:t>
      </w:r>
      <w:proofErr w:type="gramEnd"/>
      <w:r w:rsidRPr="001F4A89">
        <w:rPr>
          <w:rFonts w:ascii="Arial" w:eastAsia="Calibri" w:hAnsi="Arial" w:cs="Arial"/>
          <w:kern w:val="0"/>
          <w:lang w:val="en-US"/>
          <w14:ligatures w14:val="none"/>
        </w:rPr>
        <w:t xml:space="preserve"> in determining the size and necessity of an SRV. This report particularly underscores the capacity to pay principle, recognizing the varying ability of ratepayers to meet their financial obligations.</w:t>
      </w:r>
    </w:p>
    <w:p w14:paraId="13B53EBE" w14:textId="2DB6DEA8" w:rsidR="006C3E68" w:rsidRPr="001F4A89" w:rsidRDefault="00D006B6" w:rsidP="00B64CCE">
      <w:pPr>
        <w:jc w:val="both"/>
        <w:rPr>
          <w:rFonts w:ascii="Arial" w:eastAsia="Calibri" w:hAnsi="Arial" w:cs="Arial"/>
          <w:kern w:val="0"/>
          <w:lang w:val="en-US"/>
          <w14:ligatures w14:val="none"/>
        </w:rPr>
      </w:pPr>
      <w:bookmarkStart w:id="2" w:name="_Hlk155099293"/>
      <w:r w:rsidRPr="001F4A89">
        <w:rPr>
          <w:rFonts w:ascii="Arial" w:eastAsia="Calibri" w:hAnsi="Arial" w:cs="Arial"/>
          <w:kern w:val="0"/>
          <w:lang w:val="en-US"/>
          <w14:ligatures w14:val="none"/>
        </w:rPr>
        <w:t xml:space="preserve">The report </w:t>
      </w:r>
      <w:proofErr w:type="gramStart"/>
      <w:r w:rsidRPr="001F4A89">
        <w:rPr>
          <w:rFonts w:ascii="Arial" w:eastAsia="Calibri" w:hAnsi="Arial" w:cs="Arial"/>
          <w:kern w:val="0"/>
          <w:lang w:val="en-US"/>
          <w14:ligatures w14:val="none"/>
        </w:rPr>
        <w:t>conducts an assessment of</w:t>
      </w:r>
      <w:proofErr w:type="gramEnd"/>
      <w:r w:rsidRPr="001F4A89">
        <w:rPr>
          <w:rFonts w:ascii="Arial" w:eastAsia="Calibri" w:hAnsi="Arial" w:cs="Arial"/>
          <w:kern w:val="0"/>
          <w:lang w:val="en-US"/>
          <w14:ligatures w14:val="none"/>
        </w:rPr>
        <w:t xml:space="preserve"> relative wealth and financial capacity within the</w:t>
      </w:r>
      <w:r w:rsidR="002634DD" w:rsidRPr="001F4A89">
        <w:rPr>
          <w:rFonts w:ascii="Arial" w:eastAsia="Calibri" w:hAnsi="Arial" w:cs="Arial"/>
          <w:kern w:val="0"/>
          <w:lang w:val="en-US"/>
          <w14:ligatures w14:val="none"/>
        </w:rPr>
        <w:t xml:space="preserve"> Snowy Valley</w:t>
      </w:r>
      <w:r w:rsidR="000A61DC" w:rsidRPr="001F4A89">
        <w:rPr>
          <w:rFonts w:ascii="Arial" w:eastAsia="Calibri" w:hAnsi="Arial" w:cs="Arial"/>
          <w:kern w:val="0"/>
          <w:lang w:val="en-US"/>
          <w14:ligatures w14:val="none"/>
        </w:rPr>
        <w:t>’</w:t>
      </w:r>
      <w:r w:rsidR="002634DD" w:rsidRPr="001F4A89">
        <w:rPr>
          <w:rFonts w:ascii="Arial" w:eastAsia="Calibri" w:hAnsi="Arial" w:cs="Arial"/>
          <w:kern w:val="0"/>
          <w:lang w:val="en-US"/>
          <w14:ligatures w14:val="none"/>
        </w:rPr>
        <w:t>s</w:t>
      </w:r>
      <w:r w:rsidRPr="001F4A89">
        <w:rPr>
          <w:rFonts w:ascii="Arial" w:eastAsia="Calibri" w:hAnsi="Arial" w:cs="Arial"/>
          <w:kern w:val="0"/>
          <w:lang w:val="en-US"/>
          <w14:ligatures w14:val="none"/>
        </w:rPr>
        <w:t xml:space="preserve"> </w:t>
      </w:r>
      <w:r w:rsidR="000A61DC" w:rsidRPr="001F4A89">
        <w:rPr>
          <w:rFonts w:ascii="Arial" w:eastAsia="Calibri" w:hAnsi="Arial" w:cs="Arial"/>
          <w:kern w:val="0"/>
          <w:lang w:val="en-US"/>
          <w14:ligatures w14:val="none"/>
        </w:rPr>
        <w:t>L</w:t>
      </w:r>
      <w:r w:rsidRPr="001F4A89">
        <w:rPr>
          <w:rFonts w:ascii="Arial" w:eastAsia="Calibri" w:hAnsi="Arial" w:cs="Arial"/>
          <w:kern w:val="0"/>
          <w:lang w:val="en-US"/>
          <w14:ligatures w14:val="none"/>
        </w:rPr>
        <w:t xml:space="preserve">ocal </w:t>
      </w:r>
      <w:r w:rsidR="000A61DC" w:rsidRPr="001F4A89">
        <w:rPr>
          <w:rFonts w:ascii="Arial" w:eastAsia="Calibri" w:hAnsi="Arial" w:cs="Arial"/>
          <w:kern w:val="0"/>
          <w:lang w:val="en-US"/>
          <w14:ligatures w14:val="none"/>
        </w:rPr>
        <w:t>G</w:t>
      </w:r>
      <w:r w:rsidRPr="001F4A89">
        <w:rPr>
          <w:rFonts w:ascii="Arial" w:eastAsia="Calibri" w:hAnsi="Arial" w:cs="Arial"/>
          <w:kern w:val="0"/>
          <w:lang w:val="en-US"/>
          <w14:ligatures w14:val="none"/>
        </w:rPr>
        <w:t xml:space="preserve">overnment </w:t>
      </w:r>
      <w:r w:rsidR="000A61DC" w:rsidRPr="001F4A89">
        <w:rPr>
          <w:rFonts w:ascii="Arial" w:eastAsia="Calibri" w:hAnsi="Arial" w:cs="Arial"/>
          <w:kern w:val="0"/>
          <w:lang w:val="en-US"/>
          <w14:ligatures w14:val="none"/>
        </w:rPr>
        <w:t>A</w:t>
      </w:r>
      <w:r w:rsidRPr="001F4A89">
        <w:rPr>
          <w:rFonts w:ascii="Arial" w:eastAsia="Calibri" w:hAnsi="Arial" w:cs="Arial"/>
          <w:kern w:val="0"/>
          <w:lang w:val="en-US"/>
          <w14:ligatures w14:val="none"/>
        </w:rPr>
        <w:t>rea</w:t>
      </w:r>
      <w:r w:rsidR="000A61DC" w:rsidRPr="001F4A89">
        <w:rPr>
          <w:rFonts w:ascii="Arial" w:eastAsia="Calibri" w:hAnsi="Arial" w:cs="Arial"/>
          <w:kern w:val="0"/>
          <w:lang w:val="en-US"/>
          <w14:ligatures w14:val="none"/>
        </w:rPr>
        <w:t xml:space="preserve"> (LGA)</w:t>
      </w:r>
      <w:r w:rsidRPr="001F4A89">
        <w:rPr>
          <w:rFonts w:ascii="Arial" w:eastAsia="Calibri" w:hAnsi="Arial" w:cs="Arial"/>
          <w:kern w:val="0"/>
          <w:lang w:val="en-US"/>
          <w14:ligatures w14:val="none"/>
        </w:rPr>
        <w:t>, examining the financial vulnerability and exposure of different community groups including</w:t>
      </w:r>
      <w:r w:rsidR="002634DD" w:rsidRPr="001F4A89">
        <w:rPr>
          <w:rFonts w:ascii="Arial" w:eastAsia="Calibri" w:hAnsi="Arial" w:cs="Arial"/>
          <w:kern w:val="0"/>
          <w:lang w:val="en-US"/>
          <w14:ligatures w14:val="none"/>
        </w:rPr>
        <w:t>:</w:t>
      </w:r>
    </w:p>
    <w:p w14:paraId="2B641696" w14:textId="62B9FE49" w:rsidR="006C3E68" w:rsidRPr="001F4A89" w:rsidRDefault="006C3E68" w:rsidP="00B64CCE">
      <w:pPr>
        <w:pStyle w:val="ListParagraph"/>
        <w:numPr>
          <w:ilvl w:val="0"/>
          <w:numId w:val="2"/>
        </w:numPr>
        <w:jc w:val="both"/>
        <w:rPr>
          <w:rFonts w:ascii="Arial" w:hAnsi="Arial" w:cs="Arial"/>
        </w:rPr>
      </w:pPr>
      <w:r w:rsidRPr="001F4A89">
        <w:rPr>
          <w:rFonts w:ascii="Arial" w:hAnsi="Arial" w:cs="Arial"/>
        </w:rPr>
        <w:t>Regions of social disadvantage</w:t>
      </w:r>
    </w:p>
    <w:p w14:paraId="5465A745" w14:textId="68C73472" w:rsidR="006C3E68" w:rsidRPr="001F4A89" w:rsidRDefault="006C3E68" w:rsidP="00B64CCE">
      <w:pPr>
        <w:pStyle w:val="ListParagraph"/>
        <w:numPr>
          <w:ilvl w:val="0"/>
          <w:numId w:val="2"/>
        </w:numPr>
        <w:jc w:val="both"/>
        <w:rPr>
          <w:rFonts w:ascii="Arial" w:hAnsi="Arial" w:cs="Arial"/>
        </w:rPr>
      </w:pPr>
      <w:r w:rsidRPr="001F4A89">
        <w:rPr>
          <w:rFonts w:ascii="Arial" w:hAnsi="Arial" w:cs="Arial"/>
        </w:rPr>
        <w:t>Vulnerable groups of individuals</w:t>
      </w:r>
    </w:p>
    <w:p w14:paraId="47B3D918" w14:textId="386F12A5" w:rsidR="006C3E68" w:rsidRPr="001F4A89" w:rsidRDefault="006C3E68" w:rsidP="00B64CCE">
      <w:pPr>
        <w:pStyle w:val="ListParagraph"/>
        <w:numPr>
          <w:ilvl w:val="0"/>
          <w:numId w:val="2"/>
        </w:numPr>
        <w:spacing w:beforeLines="60" w:before="144" w:afterLines="60" w:after="144"/>
        <w:jc w:val="both"/>
        <w:rPr>
          <w:rFonts w:ascii="Arial" w:hAnsi="Arial" w:cs="Arial"/>
        </w:rPr>
      </w:pPr>
      <w:r w:rsidRPr="001F4A89">
        <w:rPr>
          <w:rFonts w:ascii="Arial" w:hAnsi="Arial" w:cs="Arial"/>
        </w:rPr>
        <w:t>Patterns of household expenditure</w:t>
      </w:r>
      <w:r w:rsidR="000A61DC" w:rsidRPr="001F4A89">
        <w:rPr>
          <w:rFonts w:ascii="Arial" w:hAnsi="Arial" w:cs="Arial"/>
        </w:rPr>
        <w:t>.</w:t>
      </w:r>
    </w:p>
    <w:p w14:paraId="67AF88F7" w14:textId="5538BFA2" w:rsidR="006C3E68" w:rsidRPr="001F4A89" w:rsidRDefault="006C3E68" w:rsidP="00B64CCE">
      <w:pPr>
        <w:spacing w:beforeLines="60" w:before="144" w:afterLines="60" w:after="144"/>
        <w:jc w:val="both"/>
        <w:rPr>
          <w:rFonts w:ascii="Arial" w:hAnsi="Arial" w:cs="Arial"/>
        </w:rPr>
      </w:pPr>
      <w:r w:rsidRPr="001F4A89">
        <w:rPr>
          <w:rFonts w:ascii="Arial" w:hAnsi="Arial" w:cs="Arial"/>
        </w:rPr>
        <w:t>These findings will then be compared to proposed rate increases to identify if there are any individuals or groups that are being impacted and/or marginalised</w:t>
      </w:r>
      <w:bookmarkEnd w:id="2"/>
      <w:r w:rsidRPr="001F4A89">
        <w:rPr>
          <w:rFonts w:ascii="Arial" w:hAnsi="Arial" w:cs="Arial"/>
        </w:rPr>
        <w:t>.</w:t>
      </w:r>
    </w:p>
    <w:p w14:paraId="227470A6" w14:textId="77777777" w:rsidR="006C3E68" w:rsidRPr="001F4A89" w:rsidRDefault="006C3E68" w:rsidP="006C3E68">
      <w:pPr>
        <w:pStyle w:val="ListParagraph"/>
        <w:ind w:left="720" w:firstLine="0"/>
        <w:jc w:val="both"/>
        <w:rPr>
          <w:rFonts w:ascii="Arial" w:hAnsi="Arial" w:cs="Arial"/>
        </w:rPr>
      </w:pPr>
    </w:p>
    <w:p w14:paraId="41A85393" w14:textId="3AEA6221" w:rsidR="00830E52" w:rsidRPr="001F4A89" w:rsidRDefault="00830E52" w:rsidP="00577C01">
      <w:pPr>
        <w:pStyle w:val="Heading1"/>
        <w:rPr>
          <w:rFonts w:ascii="Arial" w:hAnsi="Arial" w:cs="Arial"/>
          <w:b/>
          <w:bCs/>
          <w:sz w:val="22"/>
          <w:szCs w:val="22"/>
        </w:rPr>
      </w:pPr>
      <w:bookmarkStart w:id="3" w:name="_Toc156305589"/>
      <w:r w:rsidRPr="001F4A89">
        <w:rPr>
          <w:rFonts w:ascii="Arial" w:hAnsi="Arial" w:cs="Arial"/>
          <w:b/>
          <w:bCs/>
          <w:sz w:val="22"/>
          <w:szCs w:val="22"/>
        </w:rPr>
        <w:t>Background</w:t>
      </w:r>
      <w:bookmarkEnd w:id="3"/>
    </w:p>
    <w:p w14:paraId="76B9BDD4" w14:textId="0A9282A7" w:rsidR="00830E52" w:rsidRPr="001F4A89" w:rsidRDefault="000E3A77" w:rsidP="00830E52">
      <w:pPr>
        <w:pStyle w:val="BodyText"/>
        <w:spacing w:line="259" w:lineRule="auto"/>
        <w:jc w:val="both"/>
        <w:rPr>
          <w:rFonts w:ascii="Arial" w:hAnsi="Arial" w:cs="Arial"/>
        </w:rPr>
      </w:pPr>
      <w:r w:rsidRPr="001F4A89">
        <w:rPr>
          <w:rFonts w:ascii="Arial" w:hAnsi="Arial" w:cs="Arial"/>
        </w:rPr>
        <w:t>SVC</w:t>
      </w:r>
      <w:r w:rsidR="00EE01F3" w:rsidRPr="001F4A89">
        <w:rPr>
          <w:rFonts w:ascii="Arial" w:hAnsi="Arial" w:cs="Arial"/>
        </w:rPr>
        <w:t xml:space="preserve"> is divided into five regional areas. As part of the SRV process, Council is aiming to prevent substantial disadvantages to community groups and promote fair equity, considering the diverse economic and socio-economic profiles existing in each region</w:t>
      </w:r>
      <w:r w:rsidR="00830E52" w:rsidRPr="001F4A89">
        <w:rPr>
          <w:rFonts w:ascii="Arial" w:hAnsi="Arial" w:cs="Arial"/>
        </w:rPr>
        <w:t xml:space="preserve">. </w:t>
      </w:r>
      <w:bookmarkStart w:id="4" w:name="_bookmark4"/>
      <w:bookmarkEnd w:id="4"/>
    </w:p>
    <w:p w14:paraId="48BE676A" w14:textId="7A2DCE92" w:rsidR="00830E52" w:rsidRPr="001F4A89" w:rsidRDefault="00830E52" w:rsidP="00830E52">
      <w:pPr>
        <w:rPr>
          <w:rFonts w:ascii="Arial" w:hAnsi="Arial" w:cs="Arial"/>
          <w:i/>
          <w:iCs/>
        </w:rPr>
      </w:pPr>
    </w:p>
    <w:tbl>
      <w:tblPr>
        <w:tblStyle w:val="TableGrid"/>
        <w:tblW w:w="0" w:type="auto"/>
        <w:tblLook w:val="04A0" w:firstRow="1" w:lastRow="0" w:firstColumn="1" w:lastColumn="0" w:noHBand="0" w:noVBand="1"/>
      </w:tblPr>
      <w:tblGrid>
        <w:gridCol w:w="6516"/>
        <w:gridCol w:w="2500"/>
      </w:tblGrid>
      <w:tr w:rsidR="001F4A89" w:rsidRPr="001F4A89" w14:paraId="60CD8FBC" w14:textId="77777777" w:rsidTr="00F42CCC">
        <w:tc>
          <w:tcPr>
            <w:tcW w:w="6516" w:type="dxa"/>
            <w:shd w:val="clear" w:color="auto" w:fill="002060"/>
          </w:tcPr>
          <w:p w14:paraId="7FD70A98" w14:textId="277FD738" w:rsidR="00830E52" w:rsidRPr="001F4A89" w:rsidRDefault="00830E52" w:rsidP="00D6559D">
            <w:pPr>
              <w:spacing w:before="60" w:after="60"/>
              <w:jc w:val="center"/>
              <w:rPr>
                <w:rFonts w:ascii="Arial" w:hAnsi="Arial" w:cs="Arial"/>
                <w:b/>
                <w:bCs/>
              </w:rPr>
            </w:pPr>
            <w:r w:rsidRPr="001F4A89">
              <w:rPr>
                <w:rFonts w:ascii="Arial" w:hAnsi="Arial" w:cs="Arial"/>
                <w:b/>
                <w:bCs/>
              </w:rPr>
              <w:t>Area</w:t>
            </w:r>
          </w:p>
        </w:tc>
        <w:tc>
          <w:tcPr>
            <w:tcW w:w="2500" w:type="dxa"/>
            <w:shd w:val="clear" w:color="auto" w:fill="002060"/>
          </w:tcPr>
          <w:p w14:paraId="77BE764E" w14:textId="688AA366" w:rsidR="00830E52" w:rsidRPr="001F4A89" w:rsidRDefault="00830E52" w:rsidP="00D6559D">
            <w:pPr>
              <w:spacing w:before="60" w:after="60"/>
              <w:jc w:val="center"/>
              <w:rPr>
                <w:rFonts w:ascii="Arial" w:hAnsi="Arial" w:cs="Arial"/>
                <w:b/>
                <w:bCs/>
              </w:rPr>
            </w:pPr>
            <w:r w:rsidRPr="001F4A89">
              <w:rPr>
                <w:rFonts w:ascii="Arial" w:hAnsi="Arial" w:cs="Arial"/>
                <w:b/>
                <w:bCs/>
              </w:rPr>
              <w:t>Population</w:t>
            </w:r>
          </w:p>
        </w:tc>
      </w:tr>
      <w:tr w:rsidR="001F4A89" w:rsidRPr="001F4A89" w14:paraId="6856416E" w14:textId="77777777" w:rsidTr="00F42CCC">
        <w:tc>
          <w:tcPr>
            <w:tcW w:w="6516" w:type="dxa"/>
          </w:tcPr>
          <w:p w14:paraId="491013CF" w14:textId="05C9C81A" w:rsidR="00830E52" w:rsidRPr="001F4A89" w:rsidRDefault="000E3A77" w:rsidP="00830E52">
            <w:pPr>
              <w:spacing w:before="60" w:after="60"/>
              <w:rPr>
                <w:rFonts w:ascii="Arial" w:eastAsia="Calibri" w:hAnsi="Arial" w:cs="Arial"/>
                <w:kern w:val="0"/>
                <w:lang w:val="en-US"/>
                <w14:ligatures w14:val="none"/>
              </w:rPr>
            </w:pPr>
            <w:r w:rsidRPr="001F4A89">
              <w:rPr>
                <w:rFonts w:ascii="Arial" w:eastAsia="Calibri" w:hAnsi="Arial" w:cs="Arial"/>
                <w:kern w:val="0"/>
                <w:lang w:val="en-US"/>
                <w14:ligatures w14:val="none"/>
              </w:rPr>
              <w:t>SVC</w:t>
            </w:r>
          </w:p>
        </w:tc>
        <w:tc>
          <w:tcPr>
            <w:tcW w:w="2500" w:type="dxa"/>
          </w:tcPr>
          <w:p w14:paraId="08D4D75A" w14:textId="2DC2E35C" w:rsidR="00830E52" w:rsidRPr="001F4A89" w:rsidRDefault="00830E52" w:rsidP="00D6559D">
            <w:pPr>
              <w:spacing w:before="60" w:after="60"/>
              <w:jc w:val="center"/>
              <w:rPr>
                <w:rFonts w:ascii="Arial" w:eastAsia="Calibri" w:hAnsi="Arial" w:cs="Arial"/>
                <w:kern w:val="0"/>
                <w:lang w:val="en-US"/>
                <w14:ligatures w14:val="none"/>
              </w:rPr>
            </w:pPr>
            <w:r w:rsidRPr="001F4A89">
              <w:rPr>
                <w:rFonts w:ascii="Arial" w:eastAsia="Calibri" w:hAnsi="Arial" w:cs="Arial"/>
                <w:kern w:val="0"/>
                <w:lang w:val="en-US"/>
                <w14:ligatures w14:val="none"/>
              </w:rPr>
              <w:t>14,884</w:t>
            </w:r>
          </w:p>
        </w:tc>
      </w:tr>
      <w:tr w:rsidR="001F4A89" w:rsidRPr="001F4A89" w14:paraId="7492B871" w14:textId="77777777" w:rsidTr="00F42CCC">
        <w:tc>
          <w:tcPr>
            <w:tcW w:w="6516" w:type="dxa"/>
          </w:tcPr>
          <w:p w14:paraId="74E9B3A6" w14:textId="262A1A62" w:rsidR="00830E52" w:rsidRPr="001F4A89" w:rsidRDefault="00830E52" w:rsidP="00830E52">
            <w:pPr>
              <w:spacing w:before="60" w:after="60"/>
              <w:rPr>
                <w:rFonts w:ascii="Arial" w:eastAsia="Calibri" w:hAnsi="Arial" w:cs="Arial"/>
                <w:kern w:val="0"/>
                <w:lang w:val="en-US"/>
                <w14:ligatures w14:val="none"/>
              </w:rPr>
            </w:pPr>
            <w:r w:rsidRPr="001F4A89">
              <w:rPr>
                <w:rFonts w:ascii="Arial" w:eastAsia="Calibri" w:hAnsi="Arial" w:cs="Arial"/>
                <w:kern w:val="0"/>
                <w:lang w:val="en-US"/>
                <w14:ligatures w14:val="none"/>
              </w:rPr>
              <w:t>Adelong and Surrounds</w:t>
            </w:r>
          </w:p>
        </w:tc>
        <w:tc>
          <w:tcPr>
            <w:tcW w:w="2500" w:type="dxa"/>
          </w:tcPr>
          <w:p w14:paraId="449DCB72" w14:textId="7359B840" w:rsidR="00830E52" w:rsidRPr="001F4A89" w:rsidRDefault="00830E52" w:rsidP="00D6559D">
            <w:pPr>
              <w:spacing w:before="60" w:after="60"/>
              <w:jc w:val="center"/>
              <w:rPr>
                <w:rFonts w:ascii="Arial" w:eastAsia="Calibri" w:hAnsi="Arial" w:cs="Arial"/>
                <w:kern w:val="0"/>
                <w:lang w:val="en-US"/>
                <w14:ligatures w14:val="none"/>
              </w:rPr>
            </w:pPr>
            <w:r w:rsidRPr="001F4A89">
              <w:rPr>
                <w:rFonts w:ascii="Arial" w:eastAsia="Calibri" w:hAnsi="Arial" w:cs="Arial"/>
                <w:kern w:val="0"/>
                <w:lang w:val="en-US"/>
                <w14:ligatures w14:val="none"/>
              </w:rPr>
              <w:t>1,529</w:t>
            </w:r>
          </w:p>
        </w:tc>
      </w:tr>
      <w:tr w:rsidR="001F4A89" w:rsidRPr="001F4A89" w14:paraId="199140B4" w14:textId="77777777" w:rsidTr="00F42CCC">
        <w:tc>
          <w:tcPr>
            <w:tcW w:w="6516" w:type="dxa"/>
          </w:tcPr>
          <w:p w14:paraId="6AE54AAA" w14:textId="299446BB" w:rsidR="00830E52" w:rsidRPr="001F4A89" w:rsidRDefault="00830E52" w:rsidP="00830E52">
            <w:pPr>
              <w:spacing w:before="60" w:after="60"/>
              <w:rPr>
                <w:rFonts w:ascii="Arial" w:eastAsia="Calibri" w:hAnsi="Arial" w:cs="Arial"/>
                <w:kern w:val="0"/>
                <w:lang w:val="en-US"/>
                <w14:ligatures w14:val="none"/>
              </w:rPr>
            </w:pPr>
            <w:r w:rsidRPr="001F4A89">
              <w:rPr>
                <w:rFonts w:ascii="Arial" w:eastAsia="Calibri" w:hAnsi="Arial" w:cs="Arial"/>
                <w:kern w:val="0"/>
                <w:lang w:val="en-US"/>
                <w14:ligatures w14:val="none"/>
              </w:rPr>
              <w:t>Batlow and Surrounds</w:t>
            </w:r>
          </w:p>
        </w:tc>
        <w:tc>
          <w:tcPr>
            <w:tcW w:w="2500" w:type="dxa"/>
          </w:tcPr>
          <w:p w14:paraId="796E5A75" w14:textId="62ACF955" w:rsidR="00830E52" w:rsidRPr="001F4A89" w:rsidRDefault="00830E52" w:rsidP="00D6559D">
            <w:pPr>
              <w:spacing w:before="60" w:after="60"/>
              <w:jc w:val="center"/>
              <w:rPr>
                <w:rFonts w:ascii="Arial" w:eastAsia="Calibri" w:hAnsi="Arial" w:cs="Arial"/>
                <w:kern w:val="0"/>
                <w:lang w:val="en-US"/>
                <w14:ligatures w14:val="none"/>
              </w:rPr>
            </w:pPr>
            <w:r w:rsidRPr="001F4A89">
              <w:rPr>
                <w:rFonts w:ascii="Arial" w:eastAsia="Calibri" w:hAnsi="Arial" w:cs="Arial"/>
                <w:kern w:val="0"/>
                <w:lang w:val="en-US"/>
                <w14:ligatures w14:val="none"/>
              </w:rPr>
              <w:t>1576</w:t>
            </w:r>
          </w:p>
        </w:tc>
      </w:tr>
      <w:tr w:rsidR="001F4A89" w:rsidRPr="001F4A89" w14:paraId="40517F0B" w14:textId="77777777" w:rsidTr="00F42CCC">
        <w:tc>
          <w:tcPr>
            <w:tcW w:w="6516" w:type="dxa"/>
          </w:tcPr>
          <w:p w14:paraId="729EA2C5" w14:textId="04276848" w:rsidR="00830E52" w:rsidRPr="001F4A89" w:rsidRDefault="00830E52" w:rsidP="00830E52">
            <w:pPr>
              <w:spacing w:before="60" w:after="60"/>
              <w:rPr>
                <w:rFonts w:ascii="Arial" w:eastAsia="Calibri" w:hAnsi="Arial" w:cs="Arial"/>
                <w:kern w:val="0"/>
                <w:lang w:val="en-US"/>
                <w14:ligatures w14:val="none"/>
              </w:rPr>
            </w:pPr>
            <w:r w:rsidRPr="001F4A89">
              <w:rPr>
                <w:rFonts w:ascii="Arial" w:eastAsia="Calibri" w:hAnsi="Arial" w:cs="Arial"/>
                <w:kern w:val="0"/>
                <w:lang w:val="en-US"/>
                <w14:ligatures w14:val="none"/>
              </w:rPr>
              <w:t>Tumbarumba – Khancoban</w:t>
            </w:r>
          </w:p>
        </w:tc>
        <w:tc>
          <w:tcPr>
            <w:tcW w:w="2500" w:type="dxa"/>
          </w:tcPr>
          <w:p w14:paraId="4AD74A7D" w14:textId="77B1AD2E" w:rsidR="00830E52" w:rsidRPr="001F4A89" w:rsidRDefault="00830E52" w:rsidP="00D6559D">
            <w:pPr>
              <w:spacing w:before="60" w:after="60"/>
              <w:jc w:val="center"/>
              <w:rPr>
                <w:rFonts w:ascii="Arial" w:eastAsia="Calibri" w:hAnsi="Arial" w:cs="Arial"/>
                <w:kern w:val="0"/>
                <w:lang w:val="en-US"/>
                <w14:ligatures w14:val="none"/>
              </w:rPr>
            </w:pPr>
            <w:r w:rsidRPr="001F4A89">
              <w:rPr>
                <w:rFonts w:ascii="Arial" w:eastAsia="Calibri" w:hAnsi="Arial" w:cs="Arial"/>
                <w:kern w:val="0"/>
                <w:lang w:val="en-US"/>
                <w14:ligatures w14:val="none"/>
              </w:rPr>
              <w:t>3360</w:t>
            </w:r>
          </w:p>
        </w:tc>
      </w:tr>
      <w:tr w:rsidR="001F4A89" w:rsidRPr="001F4A89" w14:paraId="19484ACA" w14:textId="77777777" w:rsidTr="00F42CCC">
        <w:tc>
          <w:tcPr>
            <w:tcW w:w="6516" w:type="dxa"/>
          </w:tcPr>
          <w:p w14:paraId="24C5DBDC" w14:textId="012EA72F" w:rsidR="00830E52" w:rsidRPr="001F4A89" w:rsidRDefault="00830E52" w:rsidP="00830E52">
            <w:pPr>
              <w:spacing w:before="60" w:after="60"/>
              <w:rPr>
                <w:rFonts w:ascii="Arial" w:eastAsia="Calibri" w:hAnsi="Arial" w:cs="Arial"/>
                <w:kern w:val="0"/>
                <w:lang w:val="en-US"/>
                <w14:ligatures w14:val="none"/>
              </w:rPr>
            </w:pPr>
            <w:r w:rsidRPr="001F4A89">
              <w:rPr>
                <w:rFonts w:ascii="Arial" w:eastAsia="Calibri" w:hAnsi="Arial" w:cs="Arial"/>
                <w:kern w:val="0"/>
                <w:lang w:val="en-US"/>
                <w14:ligatures w14:val="none"/>
              </w:rPr>
              <w:t>Tumut Surrounds – Talbingo</w:t>
            </w:r>
          </w:p>
        </w:tc>
        <w:tc>
          <w:tcPr>
            <w:tcW w:w="2500" w:type="dxa"/>
          </w:tcPr>
          <w:p w14:paraId="55903B85" w14:textId="5D44C428" w:rsidR="00830E52" w:rsidRPr="001F4A89" w:rsidRDefault="00830E52" w:rsidP="00D6559D">
            <w:pPr>
              <w:spacing w:before="60" w:after="60"/>
              <w:jc w:val="center"/>
              <w:rPr>
                <w:rFonts w:ascii="Arial" w:eastAsia="Calibri" w:hAnsi="Arial" w:cs="Arial"/>
                <w:kern w:val="0"/>
                <w:lang w:val="en-US"/>
                <w14:ligatures w14:val="none"/>
              </w:rPr>
            </w:pPr>
            <w:r w:rsidRPr="001F4A89">
              <w:rPr>
                <w:rFonts w:ascii="Arial" w:eastAsia="Calibri" w:hAnsi="Arial" w:cs="Arial"/>
                <w:kern w:val="0"/>
                <w:lang w:val="en-US"/>
                <w14:ligatures w14:val="none"/>
              </w:rPr>
              <w:t>1604</w:t>
            </w:r>
          </w:p>
        </w:tc>
      </w:tr>
      <w:tr w:rsidR="001F4A89" w:rsidRPr="001F4A89" w14:paraId="6DCEF707" w14:textId="77777777" w:rsidTr="00F42CCC">
        <w:tc>
          <w:tcPr>
            <w:tcW w:w="6516" w:type="dxa"/>
          </w:tcPr>
          <w:p w14:paraId="471E04B7" w14:textId="747D9F06" w:rsidR="00830E52" w:rsidRPr="001F4A89" w:rsidRDefault="00830E52" w:rsidP="00830E52">
            <w:pPr>
              <w:spacing w:before="60" w:after="60"/>
              <w:rPr>
                <w:rFonts w:ascii="Arial" w:eastAsia="Calibri" w:hAnsi="Arial" w:cs="Arial"/>
                <w:kern w:val="0"/>
                <w:lang w:val="en-US"/>
                <w14:ligatures w14:val="none"/>
              </w:rPr>
            </w:pPr>
            <w:r w:rsidRPr="001F4A89">
              <w:rPr>
                <w:rFonts w:ascii="Arial" w:eastAsia="Calibri" w:hAnsi="Arial" w:cs="Arial"/>
                <w:kern w:val="0"/>
                <w:lang w:val="en-US"/>
                <w14:ligatures w14:val="none"/>
              </w:rPr>
              <w:t>Tumut</w:t>
            </w:r>
          </w:p>
        </w:tc>
        <w:tc>
          <w:tcPr>
            <w:tcW w:w="2500" w:type="dxa"/>
          </w:tcPr>
          <w:p w14:paraId="65A7B4C6" w14:textId="6778E8D4" w:rsidR="00830E52" w:rsidRPr="001F4A89" w:rsidRDefault="00830E52" w:rsidP="00D6559D">
            <w:pPr>
              <w:spacing w:before="60" w:after="60"/>
              <w:jc w:val="center"/>
              <w:rPr>
                <w:rFonts w:ascii="Arial" w:eastAsia="Calibri" w:hAnsi="Arial" w:cs="Arial"/>
                <w:kern w:val="0"/>
                <w:lang w:val="en-US"/>
                <w14:ligatures w14:val="none"/>
              </w:rPr>
            </w:pPr>
            <w:r w:rsidRPr="001F4A89">
              <w:rPr>
                <w:rFonts w:ascii="Arial" w:eastAsia="Calibri" w:hAnsi="Arial" w:cs="Arial"/>
                <w:kern w:val="0"/>
                <w:lang w:val="en-US"/>
                <w14:ligatures w14:val="none"/>
              </w:rPr>
              <w:t>6284</w:t>
            </w:r>
          </w:p>
        </w:tc>
      </w:tr>
    </w:tbl>
    <w:p w14:paraId="742F2309" w14:textId="7923062C" w:rsidR="00830E52" w:rsidRPr="001F4A89" w:rsidRDefault="00D6559D" w:rsidP="00830E52">
      <w:pPr>
        <w:rPr>
          <w:rFonts w:ascii="Arial" w:hAnsi="Arial" w:cs="Arial"/>
          <w:i/>
          <w:iCs/>
        </w:rPr>
      </w:pPr>
      <w:r w:rsidRPr="001F4A89">
        <w:rPr>
          <w:rFonts w:ascii="Arial" w:hAnsi="Arial" w:cs="Arial"/>
          <w:i/>
          <w:iCs/>
        </w:rPr>
        <w:t>Source</w:t>
      </w:r>
      <w:r w:rsidR="000A61DC" w:rsidRPr="001F4A89">
        <w:rPr>
          <w:rFonts w:ascii="Arial" w:hAnsi="Arial" w:cs="Arial"/>
          <w:i/>
          <w:iCs/>
        </w:rPr>
        <w:t>:</w:t>
      </w:r>
      <w:r w:rsidRPr="001F4A89">
        <w:rPr>
          <w:rFonts w:ascii="Arial" w:hAnsi="Arial" w:cs="Arial"/>
          <w:i/>
          <w:iCs/>
        </w:rPr>
        <w:t xml:space="preserve"> Census Data</w:t>
      </w:r>
      <w:r w:rsidR="000765B1" w:rsidRPr="001F4A89">
        <w:rPr>
          <w:rFonts w:ascii="Arial" w:hAnsi="Arial" w:cs="Arial"/>
          <w:i/>
          <w:iCs/>
        </w:rPr>
        <w:t xml:space="preserve"> 2021</w:t>
      </w:r>
    </w:p>
    <w:p w14:paraId="629B86CC" w14:textId="77777777" w:rsidR="00D6559D" w:rsidRPr="001F4A89" w:rsidRDefault="00D6559D" w:rsidP="00830E52">
      <w:pPr>
        <w:rPr>
          <w:rFonts w:ascii="Arial" w:hAnsi="Arial" w:cs="Arial"/>
        </w:rPr>
      </w:pPr>
    </w:p>
    <w:p w14:paraId="2A13CAEA" w14:textId="34C582A3" w:rsidR="00884C7A" w:rsidRPr="001F4A89" w:rsidRDefault="00884C7A" w:rsidP="00B642E1">
      <w:pPr>
        <w:pStyle w:val="Heading1"/>
        <w:keepNext/>
        <w:rPr>
          <w:rFonts w:ascii="Arial" w:hAnsi="Arial" w:cs="Arial"/>
          <w:b/>
          <w:bCs/>
          <w:sz w:val="22"/>
          <w:szCs w:val="22"/>
        </w:rPr>
      </w:pPr>
      <w:bookmarkStart w:id="5" w:name="_Toc156305590"/>
      <w:r w:rsidRPr="001F4A89">
        <w:rPr>
          <w:rFonts w:ascii="Arial" w:hAnsi="Arial" w:cs="Arial"/>
          <w:b/>
          <w:bCs/>
          <w:sz w:val="22"/>
          <w:szCs w:val="22"/>
        </w:rPr>
        <w:lastRenderedPageBreak/>
        <w:t>Economic Region</w:t>
      </w:r>
      <w:bookmarkEnd w:id="5"/>
    </w:p>
    <w:p w14:paraId="4E4B0DBA" w14:textId="666FF002" w:rsidR="00EE01F3" w:rsidRPr="001F4A89" w:rsidRDefault="00EE01F3" w:rsidP="00B64CCE">
      <w:pPr>
        <w:keepNext/>
        <w:jc w:val="both"/>
        <w:rPr>
          <w:rFonts w:ascii="Arial" w:hAnsi="Arial" w:cs="Arial"/>
        </w:rPr>
      </w:pPr>
      <w:r w:rsidRPr="001F4A89">
        <w:rPr>
          <w:rFonts w:ascii="Arial" w:hAnsi="Arial" w:cs="Arial"/>
        </w:rPr>
        <w:t>The area is situated in the Riverina</w:t>
      </w:r>
      <w:r w:rsidR="000A61DC" w:rsidRPr="001F4A89">
        <w:rPr>
          <w:rFonts w:ascii="Arial" w:hAnsi="Arial" w:cs="Arial"/>
        </w:rPr>
        <w:t>-</w:t>
      </w:r>
      <w:r w:rsidRPr="001F4A89">
        <w:rPr>
          <w:rFonts w:ascii="Arial" w:hAnsi="Arial" w:cs="Arial"/>
        </w:rPr>
        <w:t>Murray Region of New South Wales, approximately 200 kilometr</w:t>
      </w:r>
      <w:r w:rsidR="000A61DC" w:rsidRPr="001F4A89">
        <w:rPr>
          <w:rFonts w:ascii="Arial" w:hAnsi="Arial" w:cs="Arial"/>
        </w:rPr>
        <w:t>e</w:t>
      </w:r>
      <w:r w:rsidRPr="001F4A89">
        <w:rPr>
          <w:rFonts w:ascii="Arial" w:hAnsi="Arial" w:cs="Arial"/>
        </w:rPr>
        <w:t>s west of the Canberra CBD and around 400 kilometr</w:t>
      </w:r>
      <w:r w:rsidR="000A61DC" w:rsidRPr="001F4A89">
        <w:rPr>
          <w:rFonts w:ascii="Arial" w:hAnsi="Arial" w:cs="Arial"/>
        </w:rPr>
        <w:t>e</w:t>
      </w:r>
      <w:r w:rsidRPr="001F4A89">
        <w:rPr>
          <w:rFonts w:ascii="Arial" w:hAnsi="Arial" w:cs="Arial"/>
        </w:rPr>
        <w:t xml:space="preserve">s southwest of the Sydney CBD. The </w:t>
      </w:r>
      <w:r w:rsidR="000A61DC" w:rsidRPr="001F4A89">
        <w:rPr>
          <w:rFonts w:ascii="Arial" w:hAnsi="Arial" w:cs="Arial"/>
        </w:rPr>
        <w:t>C</w:t>
      </w:r>
      <w:r w:rsidRPr="001F4A89">
        <w:rPr>
          <w:rFonts w:ascii="Arial" w:hAnsi="Arial" w:cs="Arial"/>
        </w:rPr>
        <w:t xml:space="preserve">ouncil's boundaries include the Cootamundra-Gundagai Regional Council area and the Yass Valley Council area to the north, </w:t>
      </w:r>
      <w:r w:rsidR="00B63FB4" w:rsidRPr="001F4A89">
        <w:rPr>
          <w:rFonts w:ascii="Arial" w:hAnsi="Arial" w:cs="Arial"/>
        </w:rPr>
        <w:t>National Parks</w:t>
      </w:r>
      <w:r w:rsidRPr="001F4A89">
        <w:rPr>
          <w:rFonts w:ascii="Arial" w:hAnsi="Arial" w:cs="Arial"/>
        </w:rPr>
        <w:t xml:space="preserve"> to the east, Snowy Monaro Regional Council, the Murray River, the Victorian border, and Towong Shire</w:t>
      </w:r>
      <w:r w:rsidR="00692D28" w:rsidRPr="001F4A89">
        <w:rPr>
          <w:rFonts w:ascii="Arial" w:hAnsi="Arial" w:cs="Arial"/>
        </w:rPr>
        <w:t xml:space="preserve"> Council</w:t>
      </w:r>
      <w:r w:rsidRPr="001F4A89">
        <w:rPr>
          <w:rFonts w:ascii="Arial" w:hAnsi="Arial" w:cs="Arial"/>
        </w:rPr>
        <w:t xml:space="preserve"> to the south, and Greater Hume Shire and Wagga Wagga City</w:t>
      </w:r>
      <w:r w:rsidR="000A61DC" w:rsidRPr="001F4A89">
        <w:rPr>
          <w:rFonts w:ascii="Arial" w:hAnsi="Arial" w:cs="Arial"/>
        </w:rPr>
        <w:t xml:space="preserve"> Council</w:t>
      </w:r>
      <w:r w:rsidR="00692D28" w:rsidRPr="001F4A89">
        <w:rPr>
          <w:rFonts w:ascii="Arial" w:hAnsi="Arial" w:cs="Arial"/>
        </w:rPr>
        <w:t>s</w:t>
      </w:r>
      <w:r w:rsidRPr="001F4A89">
        <w:rPr>
          <w:rFonts w:ascii="Arial" w:hAnsi="Arial" w:cs="Arial"/>
        </w:rPr>
        <w:t xml:space="preserve"> to the west.</w:t>
      </w:r>
    </w:p>
    <w:p w14:paraId="305A7230" w14:textId="6F57719D" w:rsidR="00EE01F3" w:rsidRPr="001F4A89" w:rsidRDefault="001012FC" w:rsidP="00B64CCE">
      <w:pPr>
        <w:jc w:val="both"/>
        <w:rPr>
          <w:rFonts w:ascii="Arial" w:hAnsi="Arial" w:cs="Arial"/>
        </w:rPr>
      </w:pPr>
      <w:r w:rsidRPr="001F4A89">
        <w:rPr>
          <w:rFonts w:ascii="Arial" w:hAnsi="Arial" w:cs="Arial"/>
        </w:rPr>
        <w:t>The LGA</w:t>
      </w:r>
      <w:r w:rsidR="00EE01F3" w:rsidRPr="001F4A89">
        <w:rPr>
          <w:rFonts w:ascii="Arial" w:hAnsi="Arial" w:cs="Arial"/>
        </w:rPr>
        <w:t xml:space="preserve"> is divided into five regional areas, covering a total land area of 8,958 </w:t>
      </w:r>
      <w:r w:rsidR="00692D28" w:rsidRPr="001F4A89">
        <w:rPr>
          <w:rFonts w:ascii="Arial" w:hAnsi="Arial" w:cs="Arial"/>
        </w:rPr>
        <w:t xml:space="preserve">square </w:t>
      </w:r>
      <w:r w:rsidR="00EE01F3" w:rsidRPr="001F4A89">
        <w:rPr>
          <w:rFonts w:ascii="Arial" w:hAnsi="Arial" w:cs="Arial"/>
        </w:rPr>
        <w:t>k</w:t>
      </w:r>
      <w:r w:rsidR="00692D28" w:rsidRPr="001F4A89">
        <w:rPr>
          <w:rFonts w:ascii="Arial" w:hAnsi="Arial" w:cs="Arial"/>
        </w:rPr>
        <w:t>ilometres</w:t>
      </w:r>
      <w:r w:rsidR="00EE01F3" w:rsidRPr="001F4A89">
        <w:rPr>
          <w:rFonts w:ascii="Arial" w:hAnsi="Arial" w:cs="Arial"/>
        </w:rPr>
        <w:t xml:space="preserve">, resulting in a population density of 1.66 persons per square </w:t>
      </w:r>
      <w:r w:rsidR="00B63FB4" w:rsidRPr="001F4A89">
        <w:rPr>
          <w:rFonts w:ascii="Arial" w:hAnsi="Arial" w:cs="Arial"/>
        </w:rPr>
        <w:t>kilometre</w:t>
      </w:r>
      <w:r w:rsidR="00EE01F3" w:rsidRPr="001F4A89">
        <w:rPr>
          <w:rFonts w:ascii="Arial" w:hAnsi="Arial" w:cs="Arial"/>
        </w:rPr>
        <w:t>.</w:t>
      </w:r>
    </w:p>
    <w:p w14:paraId="6C7103FE" w14:textId="77777777" w:rsidR="006C3E68" w:rsidRPr="001F4A89" w:rsidRDefault="006C3E68" w:rsidP="00EE01F3">
      <w:pPr>
        <w:rPr>
          <w:rFonts w:ascii="Arial" w:hAnsi="Arial" w:cs="Arial"/>
        </w:rPr>
      </w:pPr>
    </w:p>
    <w:p w14:paraId="54A9AFA4" w14:textId="2458340F" w:rsidR="00CB15A6" w:rsidRPr="001F4A89" w:rsidRDefault="00884C7A" w:rsidP="00884C7A">
      <w:pPr>
        <w:jc w:val="both"/>
        <w:rPr>
          <w:rFonts w:ascii="Arial" w:hAnsi="Arial" w:cs="Arial"/>
          <w:noProof/>
        </w:rPr>
      </w:pPr>
      <w:r w:rsidRPr="001F4A89">
        <w:rPr>
          <w:rFonts w:ascii="Arial" w:hAnsi="Arial" w:cs="Arial"/>
          <w:noProof/>
        </w:rPr>
        <w:drawing>
          <wp:inline distT="0" distB="0" distL="0" distR="0" wp14:anchorId="6367FEEA" wp14:editId="6456CFC7">
            <wp:extent cx="5286375" cy="2782587"/>
            <wp:effectExtent l="0" t="0" r="0" b="0"/>
            <wp:docPr id="1290647495" name="Picture 1" descr="A map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47495" name="Picture 1" descr="A map with black outline&#10;&#10;Description automatically generated"/>
                    <pic:cNvPicPr/>
                  </pic:nvPicPr>
                  <pic:blipFill>
                    <a:blip r:embed="rId9"/>
                    <a:stretch>
                      <a:fillRect/>
                    </a:stretch>
                  </pic:blipFill>
                  <pic:spPr>
                    <a:xfrm>
                      <a:off x="0" y="0"/>
                      <a:ext cx="5293617" cy="2786399"/>
                    </a:xfrm>
                    <a:prstGeom prst="rect">
                      <a:avLst/>
                    </a:prstGeom>
                  </pic:spPr>
                </pic:pic>
              </a:graphicData>
            </a:graphic>
          </wp:inline>
        </w:drawing>
      </w:r>
    </w:p>
    <w:p w14:paraId="08CB0693" w14:textId="77777777" w:rsidR="00EE01F3" w:rsidRPr="001F4A89" w:rsidRDefault="00EE01F3" w:rsidP="00EE01F3">
      <w:pPr>
        <w:jc w:val="center"/>
        <w:rPr>
          <w:rFonts w:ascii="Arial" w:hAnsi="Arial" w:cs="Arial"/>
          <w:noProof/>
        </w:rPr>
      </w:pPr>
      <w:r w:rsidRPr="001F4A89">
        <w:rPr>
          <w:rFonts w:ascii="Arial" w:hAnsi="Arial" w:cs="Arial"/>
          <w:noProof/>
        </w:rPr>
        <w:drawing>
          <wp:inline distT="0" distB="0" distL="0" distR="0" wp14:anchorId="3D0F569A" wp14:editId="6E35A383">
            <wp:extent cx="2659380" cy="3444942"/>
            <wp:effectExtent l="0" t="0" r="7620" b="3175"/>
            <wp:docPr id="1911998902"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98902" name="Picture 1" descr="A map of the country&#10;&#10;Description automatically generated"/>
                    <pic:cNvPicPr/>
                  </pic:nvPicPr>
                  <pic:blipFill>
                    <a:blip r:embed="rId10"/>
                    <a:stretch>
                      <a:fillRect/>
                    </a:stretch>
                  </pic:blipFill>
                  <pic:spPr>
                    <a:xfrm>
                      <a:off x="0" y="0"/>
                      <a:ext cx="2683656" cy="3476389"/>
                    </a:xfrm>
                    <a:prstGeom prst="rect">
                      <a:avLst/>
                    </a:prstGeom>
                  </pic:spPr>
                </pic:pic>
              </a:graphicData>
            </a:graphic>
          </wp:inline>
        </w:drawing>
      </w:r>
    </w:p>
    <w:p w14:paraId="108DCE6E" w14:textId="77777777" w:rsidR="00EE01F3" w:rsidRPr="001F4A89" w:rsidRDefault="00EE01F3" w:rsidP="00B642E1">
      <w:pPr>
        <w:rPr>
          <w:rFonts w:ascii="Arial" w:hAnsi="Arial" w:cs="Arial"/>
        </w:rPr>
      </w:pPr>
    </w:p>
    <w:p w14:paraId="07DEB7A8" w14:textId="29F8B185" w:rsidR="009207E5" w:rsidRPr="001F4A89" w:rsidRDefault="005C0795" w:rsidP="009207E5">
      <w:pPr>
        <w:jc w:val="both"/>
        <w:rPr>
          <w:rFonts w:ascii="Arial" w:hAnsi="Arial" w:cs="Arial"/>
        </w:rPr>
      </w:pPr>
      <w:r w:rsidRPr="001F4A89">
        <w:rPr>
          <w:rFonts w:ascii="Arial" w:hAnsi="Arial" w:cs="Arial"/>
        </w:rPr>
        <w:lastRenderedPageBreak/>
        <w:t>As of 30 June 2020, a</w:t>
      </w:r>
      <w:r w:rsidR="009207E5" w:rsidRPr="001F4A89">
        <w:rPr>
          <w:rFonts w:ascii="Arial" w:hAnsi="Arial" w:cs="Arial"/>
        </w:rPr>
        <w:t xml:space="preserve"> total of 411,187 hectares, or 45.9%, of the Snowy Valleys Council land area is considered </w:t>
      </w:r>
      <w:r w:rsidR="009207E5" w:rsidRPr="001F4A89">
        <w:rPr>
          <w:rFonts w:ascii="Arial" w:hAnsi="Arial" w:cs="Arial"/>
          <w:i/>
          <w:iCs/>
        </w:rPr>
        <w:t xml:space="preserve">protected land </w:t>
      </w:r>
      <w:r w:rsidR="009207E5" w:rsidRPr="001F4A89">
        <w:rPr>
          <w:rFonts w:ascii="Arial" w:hAnsi="Arial" w:cs="Arial"/>
        </w:rPr>
        <w:t>and includes:</w:t>
      </w:r>
    </w:p>
    <w:p w14:paraId="7466DF79" w14:textId="632AC535" w:rsidR="009207E5" w:rsidRPr="001F4A89" w:rsidRDefault="009207E5" w:rsidP="009207E5">
      <w:pPr>
        <w:pStyle w:val="ListParagraph"/>
        <w:numPr>
          <w:ilvl w:val="0"/>
          <w:numId w:val="16"/>
        </w:numPr>
        <w:jc w:val="both"/>
        <w:rPr>
          <w:rFonts w:ascii="Arial" w:hAnsi="Arial" w:cs="Arial"/>
        </w:rPr>
      </w:pPr>
      <w:r w:rsidRPr="001F4A89">
        <w:rPr>
          <w:rFonts w:ascii="Arial" w:hAnsi="Arial" w:cs="Arial"/>
        </w:rPr>
        <w:t>9 National Parks protecting 383,673 hectares, making up 42.8% of the SVC region.</w:t>
      </w:r>
    </w:p>
    <w:p w14:paraId="11AD573C" w14:textId="513F87E4" w:rsidR="009207E5" w:rsidRPr="001F4A89" w:rsidRDefault="009207E5" w:rsidP="009207E5">
      <w:pPr>
        <w:pStyle w:val="ListParagraph"/>
        <w:numPr>
          <w:ilvl w:val="0"/>
          <w:numId w:val="16"/>
        </w:numPr>
        <w:jc w:val="both"/>
        <w:rPr>
          <w:rFonts w:ascii="Arial" w:hAnsi="Arial" w:cs="Arial"/>
        </w:rPr>
      </w:pPr>
      <w:r w:rsidRPr="001F4A89">
        <w:rPr>
          <w:rFonts w:ascii="Arial" w:hAnsi="Arial" w:cs="Arial"/>
        </w:rPr>
        <w:t xml:space="preserve">8 Nature reserves protecting 25,949 hectares or 2.9% of the SVC </w:t>
      </w:r>
      <w:proofErr w:type="gramStart"/>
      <w:r w:rsidRPr="001F4A89">
        <w:rPr>
          <w:rFonts w:ascii="Arial" w:hAnsi="Arial" w:cs="Arial"/>
        </w:rPr>
        <w:t>region</w:t>
      </w:r>
      <w:proofErr w:type="gramEnd"/>
    </w:p>
    <w:p w14:paraId="38603E5A" w14:textId="0B719F01" w:rsidR="009207E5" w:rsidRPr="001F4A89" w:rsidRDefault="005C0795" w:rsidP="009207E5">
      <w:pPr>
        <w:pStyle w:val="ListParagraph"/>
        <w:numPr>
          <w:ilvl w:val="0"/>
          <w:numId w:val="16"/>
        </w:numPr>
        <w:jc w:val="both"/>
        <w:rPr>
          <w:rFonts w:ascii="Arial" w:hAnsi="Arial" w:cs="Arial"/>
        </w:rPr>
      </w:pPr>
      <w:r w:rsidRPr="001F4A89">
        <w:rPr>
          <w:rFonts w:ascii="Arial" w:hAnsi="Arial" w:cs="Arial"/>
        </w:rPr>
        <w:t>Other protected land areas total 1,565 hectares, or 0.2% of the SVC region.</w:t>
      </w:r>
    </w:p>
    <w:p w14:paraId="76AF6CCF" w14:textId="77777777" w:rsidR="005C0795" w:rsidRPr="001F4A89" w:rsidRDefault="005C0795" w:rsidP="000765B1">
      <w:pPr>
        <w:pStyle w:val="ListParagraph"/>
        <w:ind w:left="720" w:firstLine="0"/>
        <w:jc w:val="both"/>
        <w:rPr>
          <w:rFonts w:ascii="Arial" w:hAnsi="Arial" w:cs="Arial"/>
        </w:rPr>
      </w:pPr>
    </w:p>
    <w:p w14:paraId="7165B103" w14:textId="250B142D" w:rsidR="00874AD3" w:rsidRPr="001F4A89" w:rsidRDefault="00874AD3" w:rsidP="00C922C2">
      <w:pPr>
        <w:pStyle w:val="Heading1"/>
        <w:rPr>
          <w:rFonts w:ascii="Arial" w:hAnsi="Arial" w:cs="Arial"/>
          <w:b/>
          <w:bCs/>
          <w:sz w:val="22"/>
          <w:szCs w:val="22"/>
        </w:rPr>
      </w:pPr>
      <w:bookmarkStart w:id="6" w:name="_Toc156305591"/>
      <w:r w:rsidRPr="001F4A89">
        <w:rPr>
          <w:rFonts w:ascii="Arial" w:hAnsi="Arial" w:cs="Arial"/>
          <w:b/>
          <w:bCs/>
          <w:sz w:val="22"/>
          <w:szCs w:val="22"/>
        </w:rPr>
        <w:t>Land Use</w:t>
      </w:r>
      <w:bookmarkEnd w:id="6"/>
    </w:p>
    <w:p w14:paraId="6544C742" w14:textId="74C1A677" w:rsidR="00874AD3" w:rsidRPr="001F4A89" w:rsidRDefault="00874AD3" w:rsidP="00874AD3">
      <w:pPr>
        <w:jc w:val="both"/>
        <w:rPr>
          <w:rFonts w:ascii="Arial" w:eastAsia="Calibri" w:hAnsi="Arial" w:cs="Arial"/>
          <w:kern w:val="0"/>
          <w:lang w:val="en-US"/>
          <w14:ligatures w14:val="none"/>
        </w:rPr>
      </w:pPr>
      <w:r w:rsidRPr="001F4A89">
        <w:rPr>
          <w:rFonts w:ascii="Arial" w:eastAsia="Calibri" w:hAnsi="Arial" w:cs="Arial"/>
          <w:kern w:val="0"/>
          <w:lang w:val="en-US"/>
          <w14:ligatures w14:val="none"/>
        </w:rPr>
        <w:t>The area is predominantly rural</w:t>
      </w:r>
      <w:r w:rsidR="00B642E1" w:rsidRPr="001F4A89">
        <w:rPr>
          <w:rFonts w:ascii="Arial" w:eastAsia="Calibri" w:hAnsi="Arial" w:cs="Arial"/>
          <w:kern w:val="0"/>
          <w:lang w:val="en-US"/>
          <w14:ligatures w14:val="none"/>
        </w:rPr>
        <w:t xml:space="preserve"> with the </w:t>
      </w:r>
      <w:r w:rsidRPr="001F4A89">
        <w:rPr>
          <w:rFonts w:ascii="Arial" w:eastAsia="Calibri" w:hAnsi="Arial" w:cs="Arial"/>
          <w:kern w:val="0"/>
          <w:lang w:val="en-US"/>
          <w14:ligatures w14:val="none"/>
        </w:rPr>
        <w:t xml:space="preserve">main township </w:t>
      </w:r>
      <w:r w:rsidR="00B642E1" w:rsidRPr="001F4A89">
        <w:rPr>
          <w:rFonts w:ascii="Arial" w:eastAsia="Calibri" w:hAnsi="Arial" w:cs="Arial"/>
          <w:kern w:val="0"/>
          <w:lang w:val="en-US"/>
          <w14:ligatures w14:val="none"/>
        </w:rPr>
        <w:t>being</w:t>
      </w:r>
      <w:r w:rsidRPr="001F4A89">
        <w:rPr>
          <w:rFonts w:ascii="Arial" w:eastAsia="Calibri" w:hAnsi="Arial" w:cs="Arial"/>
          <w:kern w:val="0"/>
          <w:lang w:val="en-US"/>
          <w14:ligatures w14:val="none"/>
        </w:rPr>
        <w:t xml:space="preserve"> Tumut, with smaller townships at Adelong, Batlow and Tumbarumba and villages at Brungle, </w:t>
      </w:r>
      <w:proofErr w:type="spellStart"/>
      <w:r w:rsidRPr="001F4A89">
        <w:rPr>
          <w:rFonts w:ascii="Arial" w:eastAsia="Calibri" w:hAnsi="Arial" w:cs="Arial"/>
          <w:kern w:val="0"/>
          <w:lang w:val="en-US"/>
          <w14:ligatures w14:val="none"/>
        </w:rPr>
        <w:t>Jingellic</w:t>
      </w:r>
      <w:proofErr w:type="spellEnd"/>
      <w:r w:rsidRPr="001F4A89">
        <w:rPr>
          <w:rFonts w:ascii="Arial" w:eastAsia="Calibri" w:hAnsi="Arial" w:cs="Arial"/>
          <w:kern w:val="0"/>
          <w:lang w:val="en-US"/>
          <w14:ligatures w14:val="none"/>
        </w:rPr>
        <w:t xml:space="preserve">, </w:t>
      </w:r>
      <w:proofErr w:type="spellStart"/>
      <w:r w:rsidRPr="001F4A89">
        <w:rPr>
          <w:rFonts w:ascii="Arial" w:eastAsia="Calibri" w:hAnsi="Arial" w:cs="Arial"/>
          <w:kern w:val="0"/>
          <w:lang w:val="en-US"/>
          <w14:ligatures w14:val="none"/>
        </w:rPr>
        <w:t>Khancoban</w:t>
      </w:r>
      <w:proofErr w:type="spellEnd"/>
      <w:r w:rsidRPr="001F4A89">
        <w:rPr>
          <w:rFonts w:ascii="Arial" w:eastAsia="Calibri" w:hAnsi="Arial" w:cs="Arial"/>
          <w:kern w:val="0"/>
          <w:lang w:val="en-US"/>
          <w14:ligatures w14:val="none"/>
        </w:rPr>
        <w:t xml:space="preserve">, Rosewood, </w:t>
      </w:r>
      <w:proofErr w:type="spellStart"/>
      <w:r w:rsidRPr="001F4A89">
        <w:rPr>
          <w:rFonts w:ascii="Arial" w:eastAsia="Calibri" w:hAnsi="Arial" w:cs="Arial"/>
          <w:kern w:val="0"/>
          <w:lang w:val="en-US"/>
          <w14:ligatures w14:val="none"/>
        </w:rPr>
        <w:t>Talbingo</w:t>
      </w:r>
      <w:proofErr w:type="spellEnd"/>
      <w:r w:rsidRPr="001F4A89">
        <w:rPr>
          <w:rFonts w:ascii="Arial" w:eastAsia="Calibri" w:hAnsi="Arial" w:cs="Arial"/>
          <w:kern w:val="0"/>
          <w:lang w:val="en-US"/>
          <w14:ligatures w14:val="none"/>
        </w:rPr>
        <w:t xml:space="preserve"> and </w:t>
      </w:r>
      <w:proofErr w:type="spellStart"/>
      <w:r w:rsidRPr="001F4A89">
        <w:rPr>
          <w:rFonts w:ascii="Arial" w:eastAsia="Calibri" w:hAnsi="Arial" w:cs="Arial"/>
          <w:kern w:val="0"/>
          <w:lang w:val="en-US"/>
          <w14:ligatures w14:val="none"/>
        </w:rPr>
        <w:t>Tooma</w:t>
      </w:r>
      <w:proofErr w:type="spellEnd"/>
      <w:r w:rsidRPr="001F4A89">
        <w:rPr>
          <w:rFonts w:ascii="Arial" w:eastAsia="Calibri" w:hAnsi="Arial" w:cs="Arial"/>
          <w:kern w:val="0"/>
          <w:lang w:val="en-US"/>
          <w14:ligatures w14:val="none"/>
        </w:rPr>
        <w:t>.</w:t>
      </w:r>
    </w:p>
    <w:p w14:paraId="4EC0B1C4" w14:textId="0813ABFA" w:rsidR="00CB15A6" w:rsidRPr="001F4A89" w:rsidRDefault="00874AD3" w:rsidP="00CB15A6">
      <w:pPr>
        <w:jc w:val="both"/>
        <w:rPr>
          <w:rFonts w:ascii="Arial" w:eastAsia="Calibri" w:hAnsi="Arial" w:cs="Arial"/>
          <w:kern w:val="0"/>
          <w:lang w:val="en-US"/>
          <w14:ligatures w14:val="none"/>
        </w:rPr>
      </w:pPr>
      <w:r w:rsidRPr="001F4A89">
        <w:rPr>
          <w:rFonts w:ascii="Arial" w:eastAsia="Calibri" w:hAnsi="Arial" w:cs="Arial"/>
          <w:kern w:val="0"/>
          <w:lang w:val="en-US"/>
          <w14:ligatures w14:val="none"/>
        </w:rPr>
        <w:t xml:space="preserve">Rural land is used largely for agriculture, particularly beef cattle farming and timber production.  Sheep grazing, fruit </w:t>
      </w:r>
      <w:proofErr w:type="gramStart"/>
      <w:r w:rsidRPr="001F4A89">
        <w:rPr>
          <w:rFonts w:ascii="Arial" w:eastAsia="Calibri" w:hAnsi="Arial" w:cs="Arial"/>
          <w:kern w:val="0"/>
          <w:lang w:val="en-US"/>
          <w14:ligatures w14:val="none"/>
        </w:rPr>
        <w:t>growing</w:t>
      </w:r>
      <w:proofErr w:type="gramEnd"/>
      <w:r w:rsidRPr="001F4A89">
        <w:rPr>
          <w:rFonts w:ascii="Arial" w:eastAsia="Calibri" w:hAnsi="Arial" w:cs="Arial"/>
          <w:kern w:val="0"/>
          <w:lang w:val="en-US"/>
          <w14:ligatures w14:val="none"/>
        </w:rPr>
        <w:t xml:space="preserve"> and power generation are also important industries.  </w:t>
      </w:r>
    </w:p>
    <w:p w14:paraId="3F2AC409" w14:textId="75B953C8" w:rsidR="00A244F7" w:rsidRPr="001F4A89" w:rsidRDefault="00A244F7" w:rsidP="00C922C2">
      <w:pPr>
        <w:pStyle w:val="Heading1"/>
        <w:rPr>
          <w:rFonts w:ascii="Arial" w:hAnsi="Arial" w:cs="Arial"/>
          <w:b/>
          <w:bCs/>
          <w:sz w:val="22"/>
          <w:szCs w:val="22"/>
        </w:rPr>
      </w:pPr>
      <w:bookmarkStart w:id="7" w:name="_Toc156305592"/>
      <w:r w:rsidRPr="001F4A89">
        <w:rPr>
          <w:rFonts w:ascii="Arial" w:hAnsi="Arial" w:cs="Arial"/>
          <w:b/>
          <w:bCs/>
          <w:sz w:val="22"/>
          <w:szCs w:val="22"/>
        </w:rPr>
        <w:t>Methodology</w:t>
      </w:r>
      <w:bookmarkEnd w:id="7"/>
    </w:p>
    <w:p w14:paraId="3E17F33D" w14:textId="55DF9309" w:rsidR="006C3E68" w:rsidRPr="001F4A89" w:rsidRDefault="00C922C2" w:rsidP="006C3E68">
      <w:pPr>
        <w:jc w:val="both"/>
        <w:rPr>
          <w:rFonts w:ascii="Arial" w:eastAsia="Calibri" w:hAnsi="Arial" w:cs="Arial"/>
          <w:kern w:val="0"/>
          <w:lang w:val="en-US"/>
          <w14:ligatures w14:val="none"/>
        </w:rPr>
      </w:pPr>
      <w:r w:rsidRPr="001F4A89">
        <w:rPr>
          <w:rFonts w:ascii="Arial" w:eastAsia="Calibri" w:hAnsi="Arial" w:cs="Arial"/>
          <w:kern w:val="0"/>
          <w:lang w:val="en-US"/>
          <w14:ligatures w14:val="none"/>
        </w:rPr>
        <w:t xml:space="preserve">The </w:t>
      </w:r>
      <w:r w:rsidR="006C3E68" w:rsidRPr="001F4A89">
        <w:rPr>
          <w:rFonts w:ascii="Arial" w:eastAsia="Calibri" w:hAnsi="Arial" w:cs="Arial"/>
          <w:kern w:val="0"/>
          <w:lang w:val="en-US"/>
          <w14:ligatures w14:val="none"/>
        </w:rPr>
        <w:t xml:space="preserve">methodology in examining the relative wealth between </w:t>
      </w:r>
      <w:r w:rsidRPr="001F4A89">
        <w:rPr>
          <w:rFonts w:ascii="Arial" w:eastAsia="Calibri" w:hAnsi="Arial" w:cs="Arial"/>
          <w:kern w:val="0"/>
          <w:lang w:val="en-US"/>
          <w14:ligatures w14:val="none"/>
        </w:rPr>
        <w:t xml:space="preserve">sections of the community </w:t>
      </w:r>
      <w:r w:rsidR="006C3E68" w:rsidRPr="001F4A89">
        <w:rPr>
          <w:rFonts w:ascii="Arial" w:eastAsia="Calibri" w:hAnsi="Arial" w:cs="Arial"/>
          <w:kern w:val="0"/>
          <w:lang w:val="en-US"/>
          <w14:ligatures w14:val="none"/>
        </w:rPr>
        <w:t>focuses on the following:</w:t>
      </w:r>
    </w:p>
    <w:p w14:paraId="37DB31F8" w14:textId="77777777" w:rsidR="006C3E68" w:rsidRPr="001F4A89" w:rsidRDefault="006C3E68" w:rsidP="006C3E68">
      <w:pPr>
        <w:pStyle w:val="ListParagraph"/>
        <w:widowControl/>
        <w:numPr>
          <w:ilvl w:val="0"/>
          <w:numId w:val="3"/>
        </w:numPr>
        <w:autoSpaceDE/>
        <w:autoSpaceDN/>
        <w:spacing w:before="0" w:after="160" w:line="259" w:lineRule="auto"/>
        <w:contextualSpacing/>
        <w:jc w:val="both"/>
        <w:rPr>
          <w:rFonts w:ascii="Arial" w:hAnsi="Arial" w:cs="Arial"/>
        </w:rPr>
      </w:pPr>
      <w:r w:rsidRPr="001F4A89">
        <w:rPr>
          <w:rFonts w:ascii="Arial" w:hAnsi="Arial" w:cs="Arial"/>
        </w:rPr>
        <w:t>Areas of social disadvantage</w:t>
      </w:r>
    </w:p>
    <w:p w14:paraId="54A6012C" w14:textId="504CD5FD" w:rsidR="006C3E68" w:rsidRPr="001F4A89" w:rsidRDefault="00754FB6" w:rsidP="00754FB6">
      <w:pPr>
        <w:ind w:left="709"/>
        <w:jc w:val="both"/>
        <w:rPr>
          <w:rFonts w:ascii="Arial" w:hAnsi="Arial" w:cs="Arial"/>
        </w:rPr>
      </w:pPr>
      <w:r w:rsidRPr="001F4A89">
        <w:rPr>
          <w:rFonts w:ascii="Arial" w:hAnsi="Arial" w:cs="Arial"/>
        </w:rPr>
        <w:t xml:space="preserve">Identifying different characteristics and the </w:t>
      </w:r>
      <w:r w:rsidR="000E3A77" w:rsidRPr="001F4A89">
        <w:rPr>
          <w:rFonts w:ascii="Arial" w:hAnsi="Arial" w:cs="Arial"/>
        </w:rPr>
        <w:t xml:space="preserve">structure </w:t>
      </w:r>
      <w:r w:rsidRPr="001F4A89">
        <w:rPr>
          <w:rFonts w:ascii="Arial" w:hAnsi="Arial" w:cs="Arial"/>
        </w:rPr>
        <w:t xml:space="preserve">of each area to determine whether there are any </w:t>
      </w:r>
      <w:proofErr w:type="gramStart"/>
      <w:r w:rsidRPr="001F4A89">
        <w:rPr>
          <w:rFonts w:ascii="Arial" w:hAnsi="Arial" w:cs="Arial"/>
        </w:rPr>
        <w:t>particular areas</w:t>
      </w:r>
      <w:proofErr w:type="gramEnd"/>
      <w:r w:rsidRPr="001F4A89">
        <w:rPr>
          <w:rFonts w:ascii="Arial" w:hAnsi="Arial" w:cs="Arial"/>
        </w:rPr>
        <w:t xml:space="preserve"> of social disadvantage. This will include an investigation into:</w:t>
      </w:r>
    </w:p>
    <w:p w14:paraId="7F87D3D7" w14:textId="77777777" w:rsidR="006C3E68" w:rsidRPr="001F4A89" w:rsidRDefault="006C3E68" w:rsidP="006C3E68">
      <w:pPr>
        <w:pStyle w:val="ListParagraph"/>
        <w:widowControl/>
        <w:numPr>
          <w:ilvl w:val="1"/>
          <w:numId w:val="4"/>
        </w:numPr>
        <w:autoSpaceDE/>
        <w:autoSpaceDN/>
        <w:spacing w:before="0" w:after="160" w:line="259" w:lineRule="auto"/>
        <w:ind w:left="1134" w:hanging="425"/>
        <w:contextualSpacing/>
        <w:jc w:val="both"/>
        <w:rPr>
          <w:rFonts w:ascii="Arial" w:hAnsi="Arial" w:cs="Arial"/>
        </w:rPr>
      </w:pPr>
      <w:r w:rsidRPr="001F4A89">
        <w:rPr>
          <w:rFonts w:ascii="Arial" w:hAnsi="Arial" w:cs="Arial"/>
        </w:rPr>
        <w:t>The age structure of each region.</w:t>
      </w:r>
    </w:p>
    <w:p w14:paraId="18D6DDA9" w14:textId="77777777" w:rsidR="006C3E68" w:rsidRPr="001F4A89" w:rsidRDefault="006C3E68" w:rsidP="006C3E68">
      <w:pPr>
        <w:pStyle w:val="ListParagraph"/>
        <w:widowControl/>
        <w:numPr>
          <w:ilvl w:val="1"/>
          <w:numId w:val="4"/>
        </w:numPr>
        <w:autoSpaceDE/>
        <w:autoSpaceDN/>
        <w:spacing w:before="0" w:after="160" w:line="259" w:lineRule="auto"/>
        <w:ind w:left="1134" w:hanging="425"/>
        <w:contextualSpacing/>
        <w:jc w:val="both"/>
        <w:rPr>
          <w:rFonts w:ascii="Arial" w:hAnsi="Arial" w:cs="Arial"/>
        </w:rPr>
      </w:pPr>
      <w:r w:rsidRPr="001F4A89">
        <w:rPr>
          <w:rFonts w:ascii="Arial" w:hAnsi="Arial" w:cs="Arial"/>
        </w:rPr>
        <w:t xml:space="preserve">The typical make up of each </w:t>
      </w:r>
      <w:proofErr w:type="gramStart"/>
      <w:r w:rsidRPr="001F4A89">
        <w:rPr>
          <w:rFonts w:ascii="Arial" w:hAnsi="Arial" w:cs="Arial"/>
        </w:rPr>
        <w:t>household</w:t>
      </w:r>
      <w:proofErr w:type="gramEnd"/>
    </w:p>
    <w:p w14:paraId="06026E4C" w14:textId="6A994CFF" w:rsidR="006C3E68" w:rsidRPr="001F4A89" w:rsidRDefault="006C3E68" w:rsidP="006C3E68">
      <w:pPr>
        <w:pStyle w:val="ListParagraph"/>
        <w:widowControl/>
        <w:numPr>
          <w:ilvl w:val="1"/>
          <w:numId w:val="4"/>
        </w:numPr>
        <w:autoSpaceDE/>
        <w:autoSpaceDN/>
        <w:spacing w:before="0" w:after="160" w:line="259" w:lineRule="auto"/>
        <w:ind w:left="1134" w:hanging="425"/>
        <w:contextualSpacing/>
        <w:jc w:val="both"/>
        <w:rPr>
          <w:rFonts w:ascii="Arial" w:hAnsi="Arial" w:cs="Arial"/>
        </w:rPr>
      </w:pPr>
      <w:r w:rsidRPr="001F4A89">
        <w:rPr>
          <w:rFonts w:ascii="Arial" w:hAnsi="Arial" w:cs="Arial"/>
        </w:rPr>
        <w:t>Household income</w:t>
      </w:r>
      <w:r w:rsidR="00221CBA" w:rsidRPr="001F4A89">
        <w:rPr>
          <w:rFonts w:ascii="Arial" w:hAnsi="Arial" w:cs="Arial"/>
        </w:rPr>
        <w:t xml:space="preserve"> </w:t>
      </w:r>
    </w:p>
    <w:p w14:paraId="264DFB2E" w14:textId="77777777" w:rsidR="006C3E68" w:rsidRPr="001F4A89" w:rsidRDefault="006C3E68" w:rsidP="006C3E68">
      <w:pPr>
        <w:pStyle w:val="ListParagraph"/>
        <w:widowControl/>
        <w:numPr>
          <w:ilvl w:val="1"/>
          <w:numId w:val="4"/>
        </w:numPr>
        <w:autoSpaceDE/>
        <w:autoSpaceDN/>
        <w:spacing w:before="0" w:after="160" w:line="259" w:lineRule="auto"/>
        <w:ind w:left="1134" w:hanging="425"/>
        <w:contextualSpacing/>
        <w:jc w:val="both"/>
        <w:rPr>
          <w:rFonts w:ascii="Arial" w:hAnsi="Arial" w:cs="Arial"/>
        </w:rPr>
      </w:pPr>
      <w:r w:rsidRPr="001F4A89">
        <w:rPr>
          <w:rFonts w:ascii="Arial" w:hAnsi="Arial" w:cs="Arial"/>
        </w:rPr>
        <w:t>SEIFA rankings</w:t>
      </w:r>
    </w:p>
    <w:p w14:paraId="18A9D593" w14:textId="77777777" w:rsidR="006C3E68" w:rsidRPr="001F4A89" w:rsidRDefault="006C3E68" w:rsidP="006C3E68">
      <w:pPr>
        <w:pStyle w:val="ListParagraph"/>
        <w:ind w:left="1440"/>
        <w:jc w:val="both"/>
        <w:rPr>
          <w:rFonts w:ascii="Arial" w:hAnsi="Arial" w:cs="Arial"/>
        </w:rPr>
      </w:pPr>
    </w:p>
    <w:p w14:paraId="46733547" w14:textId="5BD40A64" w:rsidR="006C3E68" w:rsidRPr="001F4A89" w:rsidRDefault="006C3E68" w:rsidP="006C3E68">
      <w:pPr>
        <w:pStyle w:val="ListParagraph"/>
        <w:widowControl/>
        <w:numPr>
          <w:ilvl w:val="0"/>
          <w:numId w:val="3"/>
        </w:numPr>
        <w:autoSpaceDE/>
        <w:autoSpaceDN/>
        <w:spacing w:before="0" w:after="160" w:line="259" w:lineRule="auto"/>
        <w:contextualSpacing/>
        <w:jc w:val="both"/>
        <w:rPr>
          <w:rFonts w:ascii="Arial" w:hAnsi="Arial" w:cs="Arial"/>
        </w:rPr>
      </w:pPr>
      <w:r w:rsidRPr="001F4A89">
        <w:rPr>
          <w:rFonts w:ascii="Arial" w:hAnsi="Arial" w:cs="Arial"/>
        </w:rPr>
        <w:t xml:space="preserve">Particularly Vulnerable Groups </w:t>
      </w:r>
      <w:r w:rsidR="00C922C2" w:rsidRPr="001F4A89">
        <w:rPr>
          <w:rFonts w:ascii="Arial" w:hAnsi="Arial" w:cs="Arial"/>
        </w:rPr>
        <w:t>o</w:t>
      </w:r>
      <w:r w:rsidRPr="001F4A89">
        <w:rPr>
          <w:rFonts w:ascii="Arial" w:hAnsi="Arial" w:cs="Arial"/>
        </w:rPr>
        <w:t>f Individuals</w:t>
      </w:r>
    </w:p>
    <w:p w14:paraId="4CCFCC91" w14:textId="382EB3C2" w:rsidR="006C3E68" w:rsidRPr="001F4A89" w:rsidRDefault="00754FB6" w:rsidP="006C3E68">
      <w:pPr>
        <w:ind w:left="720"/>
        <w:jc w:val="both"/>
        <w:rPr>
          <w:rFonts w:ascii="Arial" w:eastAsia="Calibri" w:hAnsi="Arial" w:cs="Arial"/>
          <w:kern w:val="0"/>
          <w:lang w:val="en-US"/>
          <w14:ligatures w14:val="none"/>
        </w:rPr>
      </w:pPr>
      <w:r w:rsidRPr="001F4A89">
        <w:rPr>
          <w:rFonts w:ascii="Arial" w:eastAsia="Calibri" w:hAnsi="Arial" w:cs="Arial"/>
          <w:kern w:val="0"/>
          <w:lang w:val="en-US"/>
          <w14:ligatures w14:val="none"/>
        </w:rPr>
        <w:t xml:space="preserve">Further investigation to ascertain if there are any particular groups within each area that, despite the overall wealth of the area, would be particularly vulnerable and affected by a change in </w:t>
      </w:r>
      <w:proofErr w:type="gramStart"/>
      <w:r w:rsidRPr="001F4A89">
        <w:rPr>
          <w:rFonts w:ascii="Arial" w:eastAsia="Calibri" w:hAnsi="Arial" w:cs="Arial"/>
          <w:kern w:val="0"/>
          <w:lang w:val="en-US"/>
          <w14:ligatures w14:val="none"/>
        </w:rPr>
        <w:t>rates</w:t>
      </w:r>
      <w:r w:rsidR="005C0795" w:rsidRPr="001F4A89">
        <w:rPr>
          <w:rFonts w:ascii="Arial" w:eastAsia="Calibri" w:hAnsi="Arial" w:cs="Arial"/>
          <w:kern w:val="0"/>
          <w:lang w:val="en-US"/>
          <w14:ligatures w14:val="none"/>
        </w:rPr>
        <w:t>;</w:t>
      </w:r>
      <w:proofErr w:type="gramEnd"/>
      <w:r w:rsidRPr="001F4A89">
        <w:rPr>
          <w:rFonts w:ascii="Arial" w:eastAsia="Calibri" w:hAnsi="Arial" w:cs="Arial"/>
          <w:kern w:val="0"/>
          <w:lang w:val="en-US"/>
          <w14:ligatures w14:val="none"/>
        </w:rPr>
        <w:t xml:space="preserve"> </w:t>
      </w:r>
      <w:r w:rsidR="005C0795" w:rsidRPr="001F4A89">
        <w:rPr>
          <w:rFonts w:ascii="Arial" w:eastAsia="Calibri" w:hAnsi="Arial" w:cs="Arial"/>
          <w:kern w:val="0"/>
          <w:lang w:val="en-US"/>
          <w14:ligatures w14:val="none"/>
        </w:rPr>
        <w:t>i</w:t>
      </w:r>
      <w:r w:rsidRPr="001F4A89">
        <w:rPr>
          <w:rFonts w:ascii="Arial" w:eastAsia="Calibri" w:hAnsi="Arial" w:cs="Arial"/>
          <w:kern w:val="0"/>
          <w:lang w:val="en-US"/>
          <w14:ligatures w14:val="none"/>
        </w:rPr>
        <w:t>ncluding</w:t>
      </w:r>
      <w:r w:rsidR="006C3E68" w:rsidRPr="001F4A89">
        <w:rPr>
          <w:rFonts w:ascii="Arial" w:eastAsia="Calibri" w:hAnsi="Arial" w:cs="Arial"/>
          <w:kern w:val="0"/>
          <w:lang w:val="en-US"/>
          <w14:ligatures w14:val="none"/>
        </w:rPr>
        <w:t>:</w:t>
      </w:r>
    </w:p>
    <w:p w14:paraId="5AE7C678" w14:textId="77777777" w:rsidR="006C3E68" w:rsidRPr="001F4A89" w:rsidRDefault="006C3E68" w:rsidP="006C3E68">
      <w:pPr>
        <w:pStyle w:val="ListParagraph"/>
        <w:widowControl/>
        <w:numPr>
          <w:ilvl w:val="1"/>
          <w:numId w:val="5"/>
        </w:numPr>
        <w:autoSpaceDE/>
        <w:autoSpaceDN/>
        <w:spacing w:before="0" w:after="160" w:line="259" w:lineRule="auto"/>
        <w:ind w:left="1134" w:hanging="425"/>
        <w:contextualSpacing/>
        <w:jc w:val="both"/>
        <w:rPr>
          <w:rFonts w:ascii="Arial" w:hAnsi="Arial" w:cs="Arial"/>
        </w:rPr>
      </w:pPr>
      <w:r w:rsidRPr="001F4A89">
        <w:rPr>
          <w:rFonts w:ascii="Arial" w:hAnsi="Arial" w:cs="Arial"/>
        </w:rPr>
        <w:t>Property owners</w:t>
      </w:r>
    </w:p>
    <w:p w14:paraId="08B5C3BC" w14:textId="32C85F68" w:rsidR="006C3E68" w:rsidRPr="001F4A89" w:rsidRDefault="006C3E68" w:rsidP="006C3E68">
      <w:pPr>
        <w:pStyle w:val="ListParagraph"/>
        <w:widowControl/>
        <w:numPr>
          <w:ilvl w:val="1"/>
          <w:numId w:val="5"/>
        </w:numPr>
        <w:autoSpaceDE/>
        <w:autoSpaceDN/>
        <w:spacing w:before="0" w:after="160" w:line="259" w:lineRule="auto"/>
        <w:ind w:left="1134" w:hanging="425"/>
        <w:contextualSpacing/>
        <w:jc w:val="both"/>
        <w:rPr>
          <w:rFonts w:ascii="Arial" w:hAnsi="Arial" w:cs="Arial"/>
        </w:rPr>
      </w:pPr>
      <w:r w:rsidRPr="001F4A89">
        <w:rPr>
          <w:rFonts w:ascii="Arial" w:hAnsi="Arial" w:cs="Arial"/>
        </w:rPr>
        <w:t>Persons who ha</w:t>
      </w:r>
      <w:r w:rsidR="0085425D" w:rsidRPr="001F4A89">
        <w:rPr>
          <w:rFonts w:ascii="Arial" w:hAnsi="Arial" w:cs="Arial"/>
        </w:rPr>
        <w:t>v</w:t>
      </w:r>
      <w:r w:rsidRPr="001F4A89">
        <w:rPr>
          <w:rFonts w:ascii="Arial" w:hAnsi="Arial" w:cs="Arial"/>
        </w:rPr>
        <w:t xml:space="preserve">e or need core </w:t>
      </w:r>
      <w:proofErr w:type="gramStart"/>
      <w:r w:rsidRPr="001F4A89">
        <w:rPr>
          <w:rFonts w:ascii="Arial" w:hAnsi="Arial" w:cs="Arial"/>
        </w:rPr>
        <w:t>assistance</w:t>
      </w:r>
      <w:proofErr w:type="gramEnd"/>
    </w:p>
    <w:p w14:paraId="4022CA7B" w14:textId="2D2FB66A" w:rsidR="006C3E68" w:rsidRPr="001F4A89" w:rsidRDefault="006C3E68" w:rsidP="006C3E68">
      <w:pPr>
        <w:pStyle w:val="ListParagraph"/>
        <w:widowControl/>
        <w:numPr>
          <w:ilvl w:val="1"/>
          <w:numId w:val="5"/>
        </w:numPr>
        <w:autoSpaceDE/>
        <w:autoSpaceDN/>
        <w:spacing w:before="0" w:after="160" w:line="259" w:lineRule="auto"/>
        <w:ind w:left="1134" w:hanging="425"/>
        <w:contextualSpacing/>
        <w:jc w:val="both"/>
        <w:rPr>
          <w:rFonts w:ascii="Arial" w:hAnsi="Arial" w:cs="Arial"/>
        </w:rPr>
      </w:pPr>
      <w:r w:rsidRPr="001F4A89">
        <w:rPr>
          <w:rFonts w:ascii="Arial" w:hAnsi="Arial" w:cs="Arial"/>
        </w:rPr>
        <w:t>Individuals who are current</w:t>
      </w:r>
      <w:r w:rsidR="005C0795" w:rsidRPr="001F4A89">
        <w:rPr>
          <w:rFonts w:ascii="Arial" w:hAnsi="Arial" w:cs="Arial"/>
        </w:rPr>
        <w:t>ly</w:t>
      </w:r>
      <w:r w:rsidRPr="001F4A89">
        <w:rPr>
          <w:rFonts w:ascii="Arial" w:hAnsi="Arial" w:cs="Arial"/>
        </w:rPr>
        <w:t xml:space="preserve"> unemployed</w:t>
      </w:r>
    </w:p>
    <w:p w14:paraId="11BE9998" w14:textId="77777777" w:rsidR="006C3E68" w:rsidRPr="001F4A89" w:rsidRDefault="006C3E68" w:rsidP="006C3E68">
      <w:pPr>
        <w:pStyle w:val="ListParagraph"/>
        <w:widowControl/>
        <w:numPr>
          <w:ilvl w:val="1"/>
          <w:numId w:val="5"/>
        </w:numPr>
        <w:autoSpaceDE/>
        <w:autoSpaceDN/>
        <w:spacing w:before="0" w:after="160" w:line="259" w:lineRule="auto"/>
        <w:ind w:left="1134" w:hanging="425"/>
        <w:contextualSpacing/>
        <w:jc w:val="both"/>
        <w:rPr>
          <w:rFonts w:ascii="Arial" w:hAnsi="Arial" w:cs="Arial"/>
        </w:rPr>
      </w:pPr>
      <w:r w:rsidRPr="001F4A89">
        <w:rPr>
          <w:rFonts w:ascii="Arial" w:hAnsi="Arial" w:cs="Arial"/>
        </w:rPr>
        <w:t>Households currently under housing stress</w:t>
      </w:r>
    </w:p>
    <w:p w14:paraId="58170594" w14:textId="5B8263EA" w:rsidR="006C3E68" w:rsidRPr="001F4A89" w:rsidRDefault="006C3E68" w:rsidP="006C3E68">
      <w:pPr>
        <w:pStyle w:val="ListParagraph"/>
        <w:widowControl/>
        <w:numPr>
          <w:ilvl w:val="1"/>
          <w:numId w:val="5"/>
        </w:numPr>
        <w:autoSpaceDE/>
        <w:autoSpaceDN/>
        <w:spacing w:before="0" w:after="160" w:line="259" w:lineRule="auto"/>
        <w:ind w:left="1134" w:hanging="425"/>
        <w:contextualSpacing/>
        <w:jc w:val="both"/>
        <w:rPr>
          <w:rFonts w:ascii="Arial" w:hAnsi="Arial" w:cs="Arial"/>
        </w:rPr>
      </w:pPr>
      <w:r w:rsidRPr="001F4A89">
        <w:rPr>
          <w:rFonts w:ascii="Arial" w:hAnsi="Arial" w:cs="Arial"/>
        </w:rPr>
        <w:t>Pensioners</w:t>
      </w:r>
      <w:r w:rsidR="005C0795" w:rsidRPr="001F4A89">
        <w:rPr>
          <w:rFonts w:ascii="Arial" w:hAnsi="Arial" w:cs="Arial"/>
        </w:rPr>
        <w:t>.</w:t>
      </w:r>
    </w:p>
    <w:p w14:paraId="063DE2CC" w14:textId="77777777" w:rsidR="006C3E68" w:rsidRPr="001F4A89" w:rsidRDefault="006C3E68" w:rsidP="006C3E68">
      <w:pPr>
        <w:pStyle w:val="ListParagraph"/>
        <w:rPr>
          <w:rFonts w:ascii="Arial" w:hAnsi="Arial" w:cs="Arial"/>
        </w:rPr>
      </w:pPr>
    </w:p>
    <w:p w14:paraId="033EF295" w14:textId="22F3EB04" w:rsidR="00CC24DB" w:rsidRPr="001F4A89" w:rsidRDefault="00CC24DB" w:rsidP="000765B1">
      <w:pPr>
        <w:pStyle w:val="Heading1"/>
        <w:keepNext/>
        <w:keepLines/>
        <w:rPr>
          <w:rFonts w:ascii="Arial" w:hAnsi="Arial" w:cs="Arial"/>
          <w:b/>
          <w:bCs/>
          <w:sz w:val="22"/>
          <w:szCs w:val="22"/>
        </w:rPr>
      </w:pPr>
      <w:bookmarkStart w:id="8" w:name="_Toc156305593"/>
      <w:r w:rsidRPr="001F4A89">
        <w:rPr>
          <w:rFonts w:ascii="Arial" w:hAnsi="Arial" w:cs="Arial"/>
          <w:b/>
          <w:bCs/>
          <w:sz w:val="22"/>
          <w:szCs w:val="22"/>
        </w:rPr>
        <w:lastRenderedPageBreak/>
        <w:t xml:space="preserve">Age Profile </w:t>
      </w:r>
      <w:r w:rsidR="000E3A77" w:rsidRPr="001F4A89">
        <w:rPr>
          <w:rFonts w:ascii="Arial" w:hAnsi="Arial" w:cs="Arial"/>
          <w:b/>
          <w:bCs/>
          <w:sz w:val="22"/>
          <w:szCs w:val="22"/>
        </w:rPr>
        <w:t>b</w:t>
      </w:r>
      <w:r w:rsidRPr="001F4A89">
        <w:rPr>
          <w:rFonts w:ascii="Arial" w:hAnsi="Arial" w:cs="Arial"/>
          <w:b/>
          <w:bCs/>
          <w:sz w:val="22"/>
          <w:szCs w:val="22"/>
        </w:rPr>
        <w:t>y Region</w:t>
      </w:r>
      <w:bookmarkEnd w:id="8"/>
    </w:p>
    <w:p w14:paraId="3D732994" w14:textId="3F88AC1E" w:rsidR="00D02F8D" w:rsidRPr="001F4A89" w:rsidRDefault="00CC24DB" w:rsidP="00830E52">
      <w:pPr>
        <w:rPr>
          <w:rFonts w:ascii="Arial" w:hAnsi="Arial" w:cs="Arial"/>
          <w:i/>
          <w:iCs/>
        </w:rPr>
      </w:pPr>
      <w:r w:rsidRPr="001F4A89">
        <w:rPr>
          <w:rFonts w:ascii="Arial" w:hAnsi="Arial" w:cs="Arial"/>
          <w:noProof/>
        </w:rPr>
        <w:drawing>
          <wp:inline distT="0" distB="0" distL="0" distR="0" wp14:anchorId="3D601888" wp14:editId="2E9B8F7B">
            <wp:extent cx="5816009" cy="3402419"/>
            <wp:effectExtent l="0" t="0" r="13335" b="7620"/>
            <wp:docPr id="12778549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415E6" w:rsidRPr="001F4A89">
        <w:rPr>
          <w:rFonts w:ascii="Arial" w:hAnsi="Arial" w:cs="Arial"/>
          <w:i/>
          <w:iCs/>
        </w:rPr>
        <w:t>Source:  Census Data</w:t>
      </w:r>
      <w:r w:rsidR="005C0795" w:rsidRPr="001F4A89">
        <w:rPr>
          <w:rFonts w:ascii="Arial" w:hAnsi="Arial" w:cs="Arial"/>
          <w:i/>
          <w:iCs/>
        </w:rPr>
        <w:t xml:space="preserve"> </w:t>
      </w:r>
      <w:r w:rsidR="000765B1" w:rsidRPr="001F4A89">
        <w:rPr>
          <w:rFonts w:ascii="Arial" w:hAnsi="Arial" w:cs="Arial"/>
          <w:i/>
          <w:iCs/>
        </w:rPr>
        <w:t>2021</w:t>
      </w:r>
    </w:p>
    <w:p w14:paraId="7C75AD34" w14:textId="6747F33F" w:rsidR="000F6B1C" w:rsidRPr="001F4A89" w:rsidRDefault="000F6B1C" w:rsidP="00A632F9">
      <w:pPr>
        <w:spacing w:before="154"/>
        <w:ind w:right="95"/>
        <w:jc w:val="both"/>
        <w:rPr>
          <w:rFonts w:ascii="Arial" w:hAnsi="Arial" w:cs="Arial"/>
        </w:rPr>
      </w:pPr>
      <w:r w:rsidRPr="001F4A89">
        <w:rPr>
          <w:rFonts w:ascii="Arial" w:hAnsi="Arial" w:cs="Arial"/>
        </w:rPr>
        <w:t xml:space="preserve">The age structure of </w:t>
      </w:r>
      <w:r w:rsidR="0067205C" w:rsidRPr="001F4A89">
        <w:rPr>
          <w:rFonts w:ascii="Arial" w:hAnsi="Arial" w:cs="Arial"/>
        </w:rPr>
        <w:t xml:space="preserve">the </w:t>
      </w:r>
      <w:r w:rsidR="000E3A77" w:rsidRPr="001F4A89">
        <w:rPr>
          <w:rFonts w:ascii="Arial" w:hAnsi="Arial" w:cs="Arial"/>
        </w:rPr>
        <w:t>SVC</w:t>
      </w:r>
      <w:r w:rsidRPr="001F4A89">
        <w:rPr>
          <w:rFonts w:ascii="Arial" w:hAnsi="Arial" w:cs="Arial"/>
        </w:rPr>
        <w:t xml:space="preserve"> </w:t>
      </w:r>
      <w:r w:rsidR="0067205C" w:rsidRPr="001F4A89">
        <w:rPr>
          <w:rFonts w:ascii="Arial" w:hAnsi="Arial" w:cs="Arial"/>
        </w:rPr>
        <w:t xml:space="preserve">area </w:t>
      </w:r>
      <w:r w:rsidRPr="001F4A89">
        <w:rPr>
          <w:rFonts w:ascii="Arial" w:hAnsi="Arial" w:cs="Arial"/>
        </w:rPr>
        <w:t xml:space="preserve">provides key insights into the level of demand for </w:t>
      </w:r>
      <w:proofErr w:type="gramStart"/>
      <w:r w:rsidRPr="001F4A89">
        <w:rPr>
          <w:rFonts w:ascii="Arial" w:hAnsi="Arial" w:cs="Arial"/>
        </w:rPr>
        <w:t>age based</w:t>
      </w:r>
      <w:proofErr w:type="gramEnd"/>
      <w:r w:rsidRPr="001F4A89">
        <w:rPr>
          <w:rFonts w:ascii="Arial" w:hAnsi="Arial" w:cs="Arial"/>
        </w:rPr>
        <w:t xml:space="preserve"> services and facilities such as child care.  It is also an indicator of </w:t>
      </w:r>
      <w:r w:rsidR="000E3A77" w:rsidRPr="001F4A89">
        <w:rPr>
          <w:rFonts w:ascii="Arial" w:hAnsi="Arial" w:cs="Arial"/>
        </w:rPr>
        <w:t>SVC</w:t>
      </w:r>
      <w:r w:rsidRPr="001F4A89">
        <w:rPr>
          <w:rFonts w:ascii="Arial" w:hAnsi="Arial" w:cs="Arial"/>
        </w:rPr>
        <w:t>’s residential role and function and how it is likely to change in the future.</w:t>
      </w:r>
    </w:p>
    <w:p w14:paraId="3300A880" w14:textId="77042C20" w:rsidR="000F6B1C" w:rsidRPr="001F4A89" w:rsidRDefault="000F6B1C" w:rsidP="00A632F9">
      <w:pPr>
        <w:spacing w:before="154"/>
        <w:ind w:right="-46"/>
        <w:jc w:val="both"/>
        <w:rPr>
          <w:rFonts w:ascii="Arial" w:hAnsi="Arial" w:cs="Arial"/>
        </w:rPr>
      </w:pPr>
      <w:r w:rsidRPr="001F4A89">
        <w:rPr>
          <w:rFonts w:ascii="Arial" w:hAnsi="Arial" w:cs="Arial"/>
        </w:rPr>
        <w:t>From 2016 to 2021</w:t>
      </w:r>
      <w:r w:rsidR="005C0795" w:rsidRPr="001F4A89">
        <w:rPr>
          <w:rFonts w:ascii="Arial" w:hAnsi="Arial" w:cs="Arial"/>
        </w:rPr>
        <w:t>,</w:t>
      </w:r>
      <w:r w:rsidRPr="001F4A89">
        <w:rPr>
          <w:rFonts w:ascii="Arial" w:hAnsi="Arial" w:cs="Arial"/>
        </w:rPr>
        <w:t xml:space="preserve"> </w:t>
      </w:r>
      <w:r w:rsidR="001012FC" w:rsidRPr="001F4A89">
        <w:rPr>
          <w:rFonts w:ascii="Arial" w:hAnsi="Arial" w:cs="Arial"/>
        </w:rPr>
        <w:t>the</w:t>
      </w:r>
      <w:r w:rsidRPr="001F4A89">
        <w:rPr>
          <w:rFonts w:ascii="Arial" w:hAnsi="Arial" w:cs="Arial"/>
        </w:rPr>
        <w:t xml:space="preserve"> population increased by 493 people – 3.4%.  This represents an average annual population change of 0.68% per year over the period.</w:t>
      </w:r>
    </w:p>
    <w:p w14:paraId="3B4D01E1" w14:textId="70A00320" w:rsidR="000F6B1C" w:rsidRPr="001F4A89" w:rsidRDefault="000F6B1C" w:rsidP="00A632F9">
      <w:pPr>
        <w:spacing w:before="154"/>
        <w:ind w:right="-46"/>
        <w:jc w:val="both"/>
        <w:rPr>
          <w:rFonts w:ascii="Arial" w:hAnsi="Arial" w:cs="Arial"/>
        </w:rPr>
      </w:pPr>
      <w:r w:rsidRPr="001F4A89">
        <w:rPr>
          <w:rFonts w:ascii="Arial" w:hAnsi="Arial" w:cs="Arial"/>
        </w:rPr>
        <w:t xml:space="preserve">The largest changes in age structure in </w:t>
      </w:r>
      <w:r w:rsidR="001012FC" w:rsidRPr="001F4A89">
        <w:rPr>
          <w:rFonts w:ascii="Arial" w:hAnsi="Arial" w:cs="Arial"/>
        </w:rPr>
        <w:t xml:space="preserve">the LGA </w:t>
      </w:r>
      <w:r w:rsidRPr="001F4A89">
        <w:rPr>
          <w:rFonts w:ascii="Arial" w:hAnsi="Arial" w:cs="Arial"/>
        </w:rPr>
        <w:t>between 2016 and 2021 were in the following age groups:</w:t>
      </w:r>
    </w:p>
    <w:p w14:paraId="144DE43D" w14:textId="77777777" w:rsidR="000F6B1C" w:rsidRPr="001F4A89" w:rsidRDefault="000F6B1C" w:rsidP="000F6B1C">
      <w:pPr>
        <w:pStyle w:val="ListParagraph"/>
        <w:numPr>
          <w:ilvl w:val="0"/>
          <w:numId w:val="1"/>
        </w:numPr>
        <w:spacing w:before="154"/>
        <w:ind w:left="567" w:right="-46" w:hanging="567"/>
        <w:jc w:val="both"/>
        <w:rPr>
          <w:rFonts w:ascii="Arial" w:hAnsi="Arial" w:cs="Arial"/>
        </w:rPr>
      </w:pPr>
      <w:r w:rsidRPr="001F4A89">
        <w:rPr>
          <w:rFonts w:ascii="Arial" w:hAnsi="Arial" w:cs="Arial"/>
        </w:rPr>
        <w:t>70 to 74 (increase 146 persons)</w:t>
      </w:r>
    </w:p>
    <w:p w14:paraId="0B39C74A" w14:textId="77777777" w:rsidR="000F6B1C" w:rsidRPr="001F4A89" w:rsidRDefault="000F6B1C" w:rsidP="000F6B1C">
      <w:pPr>
        <w:pStyle w:val="ListParagraph"/>
        <w:numPr>
          <w:ilvl w:val="0"/>
          <w:numId w:val="1"/>
        </w:numPr>
        <w:spacing w:before="154"/>
        <w:ind w:left="567" w:right="-46" w:hanging="567"/>
        <w:jc w:val="both"/>
        <w:rPr>
          <w:rFonts w:ascii="Arial" w:hAnsi="Arial" w:cs="Arial"/>
        </w:rPr>
      </w:pPr>
      <w:r w:rsidRPr="001F4A89">
        <w:rPr>
          <w:rFonts w:ascii="Arial" w:hAnsi="Arial" w:cs="Arial"/>
        </w:rPr>
        <w:t>60 to 64 (increase 120 persons)</w:t>
      </w:r>
    </w:p>
    <w:p w14:paraId="429F0E2A" w14:textId="77777777" w:rsidR="000F6B1C" w:rsidRPr="001F4A89" w:rsidRDefault="000F6B1C" w:rsidP="000F6B1C">
      <w:pPr>
        <w:pStyle w:val="ListParagraph"/>
        <w:numPr>
          <w:ilvl w:val="0"/>
          <w:numId w:val="1"/>
        </w:numPr>
        <w:spacing w:before="154"/>
        <w:ind w:left="567" w:right="-46" w:hanging="567"/>
        <w:jc w:val="both"/>
        <w:rPr>
          <w:rFonts w:ascii="Arial" w:hAnsi="Arial" w:cs="Arial"/>
        </w:rPr>
      </w:pPr>
      <w:r w:rsidRPr="001F4A89">
        <w:rPr>
          <w:rFonts w:ascii="Arial" w:hAnsi="Arial" w:cs="Arial"/>
        </w:rPr>
        <w:t>50 to 54 (decrease 106 persons)</w:t>
      </w:r>
    </w:p>
    <w:p w14:paraId="0FFD467B" w14:textId="312AEA67" w:rsidR="00A632F9" w:rsidRPr="001F4A89" w:rsidRDefault="000F6B1C" w:rsidP="00F92073">
      <w:pPr>
        <w:pStyle w:val="ListParagraph"/>
        <w:numPr>
          <w:ilvl w:val="0"/>
          <w:numId w:val="1"/>
        </w:numPr>
        <w:spacing w:beforeLines="80" w:before="192"/>
        <w:ind w:left="567" w:right="-46" w:hanging="567"/>
        <w:jc w:val="both"/>
        <w:rPr>
          <w:rFonts w:ascii="Arial" w:hAnsi="Arial" w:cs="Arial"/>
        </w:rPr>
      </w:pPr>
      <w:r w:rsidRPr="001F4A89">
        <w:rPr>
          <w:rFonts w:ascii="Arial" w:hAnsi="Arial" w:cs="Arial"/>
        </w:rPr>
        <w:t>35 to 39 (increase 103 persons)</w:t>
      </w:r>
    </w:p>
    <w:p w14:paraId="407967E3" w14:textId="72B2D99D" w:rsidR="00A632F9" w:rsidRPr="001F4A89" w:rsidRDefault="00A632F9" w:rsidP="0085425D">
      <w:pPr>
        <w:spacing w:beforeLines="80" w:before="192"/>
        <w:jc w:val="both"/>
        <w:rPr>
          <w:rFonts w:ascii="Arial" w:hAnsi="Arial" w:cs="Arial"/>
        </w:rPr>
      </w:pPr>
      <w:r w:rsidRPr="001F4A89">
        <w:rPr>
          <w:rFonts w:ascii="Arial" w:hAnsi="Arial" w:cs="Arial"/>
        </w:rPr>
        <w:t>Collectively</w:t>
      </w:r>
      <w:r w:rsidR="005C0795" w:rsidRPr="001F4A89">
        <w:rPr>
          <w:rFonts w:ascii="Arial" w:hAnsi="Arial" w:cs="Arial"/>
        </w:rPr>
        <w:t>,</w:t>
      </w:r>
      <w:r w:rsidRPr="001F4A89">
        <w:rPr>
          <w:rFonts w:ascii="Arial" w:hAnsi="Arial" w:cs="Arial"/>
        </w:rPr>
        <w:t xml:space="preserve"> age groups of </w:t>
      </w:r>
      <w:r w:rsidR="001012FC" w:rsidRPr="001F4A89">
        <w:rPr>
          <w:rFonts w:ascii="Arial" w:hAnsi="Arial" w:cs="Arial"/>
        </w:rPr>
        <w:t xml:space="preserve">the </w:t>
      </w:r>
      <w:r w:rsidR="000E3A77" w:rsidRPr="001F4A89">
        <w:rPr>
          <w:rFonts w:ascii="Arial" w:hAnsi="Arial" w:cs="Arial"/>
        </w:rPr>
        <w:t>SVC</w:t>
      </w:r>
      <w:r w:rsidRPr="001F4A89">
        <w:rPr>
          <w:rFonts w:ascii="Arial" w:hAnsi="Arial" w:cs="Arial"/>
        </w:rPr>
        <w:t xml:space="preserve"> </w:t>
      </w:r>
      <w:r w:rsidR="001012FC" w:rsidRPr="001F4A89">
        <w:rPr>
          <w:rFonts w:ascii="Arial" w:hAnsi="Arial" w:cs="Arial"/>
        </w:rPr>
        <w:t xml:space="preserve">area </w:t>
      </w:r>
      <w:r w:rsidRPr="001F4A89">
        <w:rPr>
          <w:rFonts w:ascii="Arial" w:hAnsi="Arial" w:cs="Arial"/>
        </w:rPr>
        <w:t>compared to Regional NSW show that there was a higher proportion of people in the younger age groups (0 to 17 years) as well as a higher proportion of people in the older age groups (60+ years).</w:t>
      </w:r>
    </w:p>
    <w:p w14:paraId="4EE99760" w14:textId="4298E3C0" w:rsidR="001D591B" w:rsidRPr="001F4A89" w:rsidRDefault="00A632F9" w:rsidP="0085425D">
      <w:pPr>
        <w:jc w:val="both"/>
        <w:rPr>
          <w:rFonts w:ascii="Arial" w:hAnsi="Arial" w:cs="Arial"/>
        </w:rPr>
      </w:pPr>
      <w:r w:rsidRPr="001F4A89">
        <w:rPr>
          <w:rFonts w:ascii="Arial" w:hAnsi="Arial" w:cs="Arial"/>
        </w:rPr>
        <w:t>With</w:t>
      </w:r>
      <w:r w:rsidR="000E3A77" w:rsidRPr="001F4A89">
        <w:rPr>
          <w:rFonts w:ascii="Arial" w:hAnsi="Arial" w:cs="Arial"/>
        </w:rPr>
        <w:t>in</w:t>
      </w:r>
      <w:r w:rsidRPr="001F4A89">
        <w:rPr>
          <w:rFonts w:ascii="Arial" w:hAnsi="Arial" w:cs="Arial"/>
        </w:rPr>
        <w:t xml:space="preserve"> the region itself</w:t>
      </w:r>
      <w:r w:rsidR="005C0795" w:rsidRPr="001F4A89">
        <w:rPr>
          <w:rFonts w:ascii="Arial" w:hAnsi="Arial" w:cs="Arial"/>
        </w:rPr>
        <w:t>,</w:t>
      </w:r>
      <w:r w:rsidRPr="001F4A89">
        <w:rPr>
          <w:rFonts w:ascii="Arial" w:hAnsi="Arial" w:cs="Arial"/>
        </w:rPr>
        <w:t xml:space="preserve"> i</w:t>
      </w:r>
      <w:r w:rsidR="003E15AE" w:rsidRPr="001F4A89">
        <w:rPr>
          <w:rFonts w:ascii="Arial" w:hAnsi="Arial" w:cs="Arial"/>
        </w:rPr>
        <w:t>t has been identified that Talbingo had the highest proportion of residents over the age of 70 than other areas</w:t>
      </w:r>
      <w:r w:rsidR="001D591B" w:rsidRPr="001F4A89">
        <w:rPr>
          <w:rFonts w:ascii="Arial" w:hAnsi="Arial" w:cs="Arial"/>
        </w:rPr>
        <w:t>.</w:t>
      </w:r>
    </w:p>
    <w:p w14:paraId="78C7D52D" w14:textId="52534875" w:rsidR="001D591B" w:rsidRPr="001F4A89" w:rsidRDefault="001D591B" w:rsidP="0085425D">
      <w:pPr>
        <w:jc w:val="both"/>
        <w:rPr>
          <w:rFonts w:ascii="Arial" w:hAnsi="Arial" w:cs="Arial"/>
        </w:rPr>
      </w:pPr>
      <w:r w:rsidRPr="001F4A89">
        <w:rPr>
          <w:rFonts w:ascii="Arial" w:hAnsi="Arial" w:cs="Arial"/>
        </w:rPr>
        <w:t xml:space="preserve">Tumut, </w:t>
      </w:r>
      <w:proofErr w:type="gramStart"/>
      <w:r w:rsidRPr="001F4A89">
        <w:rPr>
          <w:rFonts w:ascii="Arial" w:hAnsi="Arial" w:cs="Arial"/>
        </w:rPr>
        <w:t>Tumbarumba</w:t>
      </w:r>
      <w:proofErr w:type="gramEnd"/>
      <w:r w:rsidRPr="001F4A89">
        <w:rPr>
          <w:rFonts w:ascii="Arial" w:hAnsi="Arial" w:cs="Arial"/>
        </w:rPr>
        <w:t xml:space="preserve"> and Khancoban hav</w:t>
      </w:r>
      <w:r w:rsidR="005C0795" w:rsidRPr="001F4A89">
        <w:rPr>
          <w:rFonts w:ascii="Arial" w:hAnsi="Arial" w:cs="Arial"/>
        </w:rPr>
        <w:t>e</w:t>
      </w:r>
      <w:r w:rsidRPr="001F4A89">
        <w:rPr>
          <w:rFonts w:ascii="Arial" w:hAnsi="Arial" w:cs="Arial"/>
        </w:rPr>
        <w:t xml:space="preserve"> the largest proportion of residents within the working age demographic, noting the highest proportion of residents in the young workforce (18 to 24) in Khancoban.</w:t>
      </w:r>
    </w:p>
    <w:p w14:paraId="4EB8B4F7" w14:textId="332F4109" w:rsidR="00DB30D2" w:rsidRPr="001F4A89" w:rsidRDefault="001D591B" w:rsidP="000E3A77">
      <w:pPr>
        <w:jc w:val="both"/>
        <w:rPr>
          <w:rFonts w:ascii="Arial" w:hAnsi="Arial" w:cs="Arial"/>
        </w:rPr>
      </w:pPr>
      <w:r w:rsidRPr="001F4A89">
        <w:rPr>
          <w:rFonts w:ascii="Arial" w:hAnsi="Arial" w:cs="Arial"/>
        </w:rPr>
        <w:t xml:space="preserve">Tumut, </w:t>
      </w:r>
      <w:proofErr w:type="gramStart"/>
      <w:r w:rsidRPr="001F4A89">
        <w:rPr>
          <w:rFonts w:ascii="Arial" w:hAnsi="Arial" w:cs="Arial"/>
        </w:rPr>
        <w:t>Adelong</w:t>
      </w:r>
      <w:proofErr w:type="gramEnd"/>
      <w:r w:rsidRPr="001F4A89">
        <w:rPr>
          <w:rFonts w:ascii="Arial" w:hAnsi="Arial" w:cs="Arial"/>
        </w:rPr>
        <w:t xml:space="preserve"> and Batlow having significantly higher proportion of persons</w:t>
      </w:r>
      <w:r w:rsidR="004D49A7" w:rsidRPr="001F4A89">
        <w:rPr>
          <w:rFonts w:ascii="Arial" w:hAnsi="Arial" w:cs="Arial"/>
        </w:rPr>
        <w:t xml:space="preserve"> aged</w:t>
      </w:r>
      <w:r w:rsidRPr="001F4A89">
        <w:rPr>
          <w:rFonts w:ascii="Arial" w:hAnsi="Arial" w:cs="Arial"/>
        </w:rPr>
        <w:t xml:space="preserve"> 18 and under.</w:t>
      </w:r>
    </w:p>
    <w:p w14:paraId="553C6965" w14:textId="6DCF8F48" w:rsidR="00417460" w:rsidRPr="001F4A89" w:rsidRDefault="0049745E" w:rsidP="000765B1">
      <w:pPr>
        <w:pStyle w:val="Heading1"/>
        <w:keepNext/>
        <w:keepLines/>
        <w:rPr>
          <w:rFonts w:ascii="Arial" w:hAnsi="Arial" w:cs="Arial"/>
          <w:b/>
          <w:bCs/>
          <w:sz w:val="22"/>
          <w:szCs w:val="22"/>
        </w:rPr>
      </w:pPr>
      <w:bookmarkStart w:id="9" w:name="_Toc156305594"/>
      <w:r w:rsidRPr="001F4A89">
        <w:rPr>
          <w:rFonts w:ascii="Arial" w:hAnsi="Arial" w:cs="Arial"/>
          <w:b/>
          <w:bCs/>
          <w:sz w:val="22"/>
          <w:szCs w:val="22"/>
        </w:rPr>
        <w:lastRenderedPageBreak/>
        <w:t>Household Composition</w:t>
      </w:r>
      <w:bookmarkEnd w:id="9"/>
    </w:p>
    <w:p w14:paraId="73EDA146" w14:textId="01E30FF6" w:rsidR="00417460" w:rsidRPr="001F4A89" w:rsidRDefault="00417460" w:rsidP="000765B1">
      <w:pPr>
        <w:keepNext/>
        <w:keepLines/>
        <w:rPr>
          <w:rFonts w:ascii="Arial" w:hAnsi="Arial" w:cs="Arial"/>
        </w:rPr>
      </w:pPr>
      <w:r w:rsidRPr="001F4A89">
        <w:rPr>
          <w:rFonts w:ascii="Arial" w:hAnsi="Arial" w:cs="Arial"/>
        </w:rPr>
        <w:t xml:space="preserve">The table below identifies the typical </w:t>
      </w:r>
      <w:proofErr w:type="spellStart"/>
      <w:r w:rsidRPr="001F4A89">
        <w:rPr>
          <w:rFonts w:ascii="Arial" w:hAnsi="Arial" w:cs="Arial"/>
        </w:rPr>
        <w:t>make up</w:t>
      </w:r>
      <w:proofErr w:type="spellEnd"/>
      <w:r w:rsidRPr="001F4A89">
        <w:rPr>
          <w:rFonts w:ascii="Arial" w:hAnsi="Arial" w:cs="Arial"/>
        </w:rPr>
        <w:t xml:space="preserve"> of the region’s households</w:t>
      </w:r>
      <w:r w:rsidR="000938B7" w:rsidRPr="001F4A89">
        <w:rPr>
          <w:rFonts w:ascii="Arial" w:hAnsi="Arial" w:cs="Arial"/>
        </w:rPr>
        <w:t xml:space="preserve"> providing a </w:t>
      </w:r>
      <w:r w:rsidRPr="001F4A89">
        <w:rPr>
          <w:rFonts w:ascii="Arial" w:hAnsi="Arial" w:cs="Arial"/>
        </w:rPr>
        <w:t xml:space="preserve">snapshot of the people, </w:t>
      </w:r>
      <w:proofErr w:type="gramStart"/>
      <w:r w:rsidRPr="001F4A89">
        <w:rPr>
          <w:rFonts w:ascii="Arial" w:hAnsi="Arial" w:cs="Arial"/>
        </w:rPr>
        <w:t>families</w:t>
      </w:r>
      <w:proofErr w:type="gramEnd"/>
      <w:r w:rsidRPr="001F4A89">
        <w:rPr>
          <w:rFonts w:ascii="Arial" w:hAnsi="Arial" w:cs="Arial"/>
        </w:rPr>
        <w:t xml:space="preserve"> and communities in each area.</w:t>
      </w:r>
    </w:p>
    <w:p w14:paraId="24DFD30B" w14:textId="77777777" w:rsidR="000938B7" w:rsidRPr="001F4A89" w:rsidRDefault="000938B7" w:rsidP="00830E52">
      <w:pPr>
        <w:rPr>
          <w:rFonts w:ascii="Arial" w:hAnsi="Arial" w:cs="Arial"/>
        </w:rPr>
      </w:pPr>
    </w:p>
    <w:p w14:paraId="02A6A9DE" w14:textId="645F8181" w:rsidR="00D02F8D" w:rsidRPr="001F4A89" w:rsidRDefault="00F42CCC">
      <w:pPr>
        <w:rPr>
          <w:rFonts w:ascii="Arial" w:hAnsi="Arial" w:cs="Arial"/>
          <w:i/>
          <w:iCs/>
        </w:rPr>
      </w:pPr>
      <w:r w:rsidRPr="001F4A89">
        <w:rPr>
          <w:rFonts w:ascii="Arial" w:hAnsi="Arial" w:cs="Arial"/>
          <w:noProof/>
        </w:rPr>
        <w:drawing>
          <wp:inline distT="0" distB="0" distL="0" distR="0" wp14:anchorId="67E175A5" wp14:editId="33379792">
            <wp:extent cx="5816009" cy="3508744"/>
            <wp:effectExtent l="0" t="0" r="13335" b="15875"/>
            <wp:docPr id="64930048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02F8D" w:rsidRPr="001F4A89">
        <w:rPr>
          <w:rFonts w:ascii="Arial" w:hAnsi="Arial" w:cs="Arial"/>
          <w:i/>
          <w:iCs/>
        </w:rPr>
        <w:t>Source:  Census Data</w:t>
      </w:r>
      <w:r w:rsidR="004D49A7" w:rsidRPr="001F4A89">
        <w:rPr>
          <w:rFonts w:ascii="Arial" w:hAnsi="Arial" w:cs="Arial"/>
          <w:i/>
          <w:iCs/>
        </w:rPr>
        <w:t xml:space="preserve"> </w:t>
      </w:r>
      <w:r w:rsidR="000765B1" w:rsidRPr="001F4A89">
        <w:rPr>
          <w:rFonts w:ascii="Arial" w:hAnsi="Arial" w:cs="Arial"/>
          <w:i/>
          <w:iCs/>
        </w:rPr>
        <w:t>2021</w:t>
      </w:r>
    </w:p>
    <w:p w14:paraId="7171771B" w14:textId="600F840C" w:rsidR="00417460" w:rsidRPr="001F4A89" w:rsidRDefault="00417460" w:rsidP="008036AC">
      <w:pPr>
        <w:jc w:val="both"/>
        <w:rPr>
          <w:rFonts w:ascii="Arial" w:hAnsi="Arial" w:cs="Arial"/>
        </w:rPr>
      </w:pPr>
      <w:r w:rsidRPr="001F4A89">
        <w:rPr>
          <w:rFonts w:ascii="Arial" w:hAnsi="Arial" w:cs="Arial"/>
        </w:rPr>
        <w:t>It has been identified that those households that will be impacted at a higher level, due to an increase in rates are ‘lone person’ and ‘one parent’ households. These households, it is assumed, function with a reduced or single income stream.</w:t>
      </w:r>
    </w:p>
    <w:p w14:paraId="5DDD7370" w14:textId="7BB86526" w:rsidR="00AC1797" w:rsidRPr="001F4A89" w:rsidRDefault="004D49A7" w:rsidP="00863710">
      <w:pPr>
        <w:jc w:val="both"/>
        <w:rPr>
          <w:rFonts w:ascii="Arial" w:hAnsi="Arial" w:cs="Arial"/>
        </w:rPr>
      </w:pPr>
      <w:r w:rsidRPr="001F4A89">
        <w:rPr>
          <w:rFonts w:ascii="Arial" w:hAnsi="Arial" w:cs="Arial"/>
        </w:rPr>
        <w:t>It is also clear</w:t>
      </w:r>
      <w:r w:rsidR="000938B7" w:rsidRPr="001F4A89">
        <w:rPr>
          <w:rFonts w:ascii="Arial" w:hAnsi="Arial" w:cs="Arial"/>
        </w:rPr>
        <w:t xml:space="preserve"> that Tumut has</w:t>
      </w:r>
      <w:r w:rsidRPr="001F4A89">
        <w:rPr>
          <w:rFonts w:ascii="Arial" w:hAnsi="Arial" w:cs="Arial"/>
        </w:rPr>
        <w:t>,</w:t>
      </w:r>
      <w:r w:rsidR="000938B7" w:rsidRPr="001F4A89">
        <w:rPr>
          <w:rFonts w:ascii="Arial" w:hAnsi="Arial" w:cs="Arial"/>
        </w:rPr>
        <w:t xml:space="preserve"> by far</w:t>
      </w:r>
      <w:r w:rsidRPr="001F4A89">
        <w:rPr>
          <w:rFonts w:ascii="Arial" w:hAnsi="Arial" w:cs="Arial"/>
        </w:rPr>
        <w:t>,</w:t>
      </w:r>
      <w:r w:rsidR="000938B7" w:rsidRPr="001F4A89">
        <w:rPr>
          <w:rFonts w:ascii="Arial" w:hAnsi="Arial" w:cs="Arial"/>
        </w:rPr>
        <w:t xml:space="preserve"> the highe</w:t>
      </w:r>
      <w:r w:rsidRPr="001F4A89">
        <w:rPr>
          <w:rFonts w:ascii="Arial" w:hAnsi="Arial" w:cs="Arial"/>
        </w:rPr>
        <w:t>st</w:t>
      </w:r>
      <w:r w:rsidR="000938B7" w:rsidRPr="001F4A89">
        <w:rPr>
          <w:rFonts w:ascii="Arial" w:hAnsi="Arial" w:cs="Arial"/>
        </w:rPr>
        <w:t xml:space="preserve"> proportion of households with children.</w:t>
      </w:r>
    </w:p>
    <w:p w14:paraId="41716730" w14:textId="4A4A61C4" w:rsidR="0049745E" w:rsidRPr="001F4A89" w:rsidRDefault="00D4343D" w:rsidP="00577C01">
      <w:pPr>
        <w:pStyle w:val="Heading1"/>
        <w:rPr>
          <w:rFonts w:ascii="Arial" w:hAnsi="Arial" w:cs="Arial"/>
          <w:b/>
          <w:bCs/>
          <w:sz w:val="22"/>
          <w:szCs w:val="22"/>
        </w:rPr>
      </w:pPr>
      <w:bookmarkStart w:id="10" w:name="_Toc156305595"/>
      <w:r w:rsidRPr="001F4A89">
        <w:rPr>
          <w:rFonts w:ascii="Arial" w:hAnsi="Arial" w:cs="Arial"/>
          <w:b/>
          <w:bCs/>
          <w:sz w:val="22"/>
          <w:szCs w:val="22"/>
        </w:rPr>
        <w:t>Housing Tenure</w:t>
      </w:r>
      <w:bookmarkEnd w:id="10"/>
    </w:p>
    <w:p w14:paraId="0EA7E57A" w14:textId="6C0D5E49" w:rsidR="00AC1797" w:rsidRPr="001F4A89" w:rsidRDefault="000938B7" w:rsidP="000938B7">
      <w:pPr>
        <w:jc w:val="both"/>
        <w:rPr>
          <w:rFonts w:ascii="Arial" w:hAnsi="Arial" w:cs="Arial"/>
        </w:rPr>
      </w:pPr>
      <w:r w:rsidRPr="001F4A89">
        <w:rPr>
          <w:rFonts w:ascii="Arial" w:hAnsi="Arial" w:cs="Arial"/>
        </w:rPr>
        <w:t xml:space="preserve">By identifying housing tenure levels within the community, we </w:t>
      </w:r>
      <w:proofErr w:type="gramStart"/>
      <w:r w:rsidRPr="001F4A89">
        <w:rPr>
          <w:rFonts w:ascii="Arial" w:hAnsi="Arial" w:cs="Arial"/>
        </w:rPr>
        <w:t>have the ability to</w:t>
      </w:r>
      <w:proofErr w:type="gramEnd"/>
      <w:r w:rsidRPr="001F4A89">
        <w:rPr>
          <w:rFonts w:ascii="Arial" w:hAnsi="Arial" w:cs="Arial"/>
        </w:rPr>
        <w:t xml:space="preserve"> establish which areas would be most impacted by a change in council rates. The direct impact of such a change in rates would be felt by homeowners, with renters perhaps experiencing an increase/decrease depending on their lease arrangements and decisions of their landlord.</w:t>
      </w:r>
    </w:p>
    <w:p w14:paraId="30C08FA1" w14:textId="37FD6550" w:rsidR="00B43D3E" w:rsidRPr="001F4A89" w:rsidRDefault="000938B7" w:rsidP="00830E52">
      <w:pPr>
        <w:rPr>
          <w:rFonts w:ascii="Arial" w:hAnsi="Arial" w:cs="Arial"/>
        </w:rPr>
      </w:pPr>
      <w:r w:rsidRPr="001F4A89">
        <w:rPr>
          <w:rFonts w:ascii="Arial" w:hAnsi="Arial" w:cs="Arial"/>
        </w:rPr>
        <w:t>Those that reside in social housing are unlikely to be impacted by a change in rates.</w:t>
      </w:r>
    </w:p>
    <w:tbl>
      <w:tblPr>
        <w:tblStyle w:val="TableGrid"/>
        <w:tblW w:w="9209" w:type="dxa"/>
        <w:tblLook w:val="04A0" w:firstRow="1" w:lastRow="0" w:firstColumn="1" w:lastColumn="0" w:noHBand="0" w:noVBand="1"/>
      </w:tblPr>
      <w:tblGrid>
        <w:gridCol w:w="3114"/>
        <w:gridCol w:w="2693"/>
        <w:gridCol w:w="1276"/>
        <w:gridCol w:w="2126"/>
      </w:tblGrid>
      <w:tr w:rsidR="00C21AF5" w:rsidRPr="00C21AF5" w14:paraId="4241437A" w14:textId="45FCFDDD" w:rsidTr="00B43D3E">
        <w:tc>
          <w:tcPr>
            <w:tcW w:w="3114" w:type="dxa"/>
            <w:shd w:val="clear" w:color="auto" w:fill="002060"/>
          </w:tcPr>
          <w:p w14:paraId="3522AFCA" w14:textId="7D0498B6" w:rsidR="003308D1" w:rsidRPr="00C21AF5" w:rsidRDefault="003308D1" w:rsidP="0059724A">
            <w:pPr>
              <w:spacing w:before="60" w:after="60"/>
              <w:jc w:val="center"/>
              <w:rPr>
                <w:rFonts w:ascii="Arial" w:hAnsi="Arial" w:cs="Arial"/>
                <w:b/>
                <w:bCs/>
              </w:rPr>
            </w:pPr>
            <w:r w:rsidRPr="00C21AF5">
              <w:rPr>
                <w:rFonts w:ascii="Arial" w:hAnsi="Arial" w:cs="Arial"/>
                <w:b/>
                <w:bCs/>
              </w:rPr>
              <w:t>Tenure</w:t>
            </w:r>
          </w:p>
        </w:tc>
        <w:tc>
          <w:tcPr>
            <w:tcW w:w="2693" w:type="dxa"/>
            <w:shd w:val="clear" w:color="auto" w:fill="002060"/>
          </w:tcPr>
          <w:p w14:paraId="0EBEA15E" w14:textId="55182EE2" w:rsidR="003308D1" w:rsidRPr="00C21AF5" w:rsidRDefault="004D49A7" w:rsidP="0059724A">
            <w:pPr>
              <w:spacing w:before="60" w:after="60"/>
              <w:jc w:val="center"/>
              <w:rPr>
                <w:rFonts w:ascii="Arial" w:hAnsi="Arial" w:cs="Arial"/>
                <w:b/>
                <w:bCs/>
              </w:rPr>
            </w:pPr>
            <w:r>
              <w:rPr>
                <w:rFonts w:ascii="Arial" w:hAnsi="Arial" w:cs="Arial"/>
                <w:b/>
                <w:bCs/>
              </w:rPr>
              <w:t xml:space="preserve">Number in </w:t>
            </w:r>
            <w:r>
              <w:rPr>
                <w:rFonts w:ascii="Arial" w:hAnsi="Arial" w:cs="Arial"/>
                <w:b/>
                <w:bCs/>
              </w:rPr>
              <w:br/>
            </w:r>
            <w:r w:rsidR="003308D1" w:rsidRPr="00C21AF5">
              <w:rPr>
                <w:rFonts w:ascii="Arial" w:hAnsi="Arial" w:cs="Arial"/>
                <w:b/>
                <w:bCs/>
              </w:rPr>
              <w:t>Snowy Valleys</w:t>
            </w:r>
          </w:p>
        </w:tc>
        <w:tc>
          <w:tcPr>
            <w:tcW w:w="1276" w:type="dxa"/>
            <w:shd w:val="clear" w:color="auto" w:fill="002060"/>
          </w:tcPr>
          <w:p w14:paraId="75A41126" w14:textId="0098AD12" w:rsidR="003308D1" w:rsidRPr="00C21AF5" w:rsidRDefault="004D49A7" w:rsidP="0059724A">
            <w:pPr>
              <w:spacing w:before="60" w:after="60"/>
              <w:jc w:val="center"/>
              <w:rPr>
                <w:rFonts w:ascii="Arial" w:hAnsi="Arial" w:cs="Arial"/>
                <w:b/>
                <w:bCs/>
              </w:rPr>
            </w:pPr>
            <w:r>
              <w:rPr>
                <w:rFonts w:ascii="Arial" w:hAnsi="Arial" w:cs="Arial"/>
                <w:b/>
                <w:bCs/>
              </w:rPr>
              <w:t xml:space="preserve">SVC </w:t>
            </w:r>
            <w:r w:rsidR="003308D1" w:rsidRPr="00C21AF5">
              <w:rPr>
                <w:rFonts w:ascii="Arial" w:hAnsi="Arial" w:cs="Arial"/>
                <w:b/>
                <w:bCs/>
              </w:rPr>
              <w:t>%</w:t>
            </w:r>
          </w:p>
        </w:tc>
        <w:tc>
          <w:tcPr>
            <w:tcW w:w="2126" w:type="dxa"/>
            <w:shd w:val="clear" w:color="auto" w:fill="002060"/>
          </w:tcPr>
          <w:p w14:paraId="15A3F129" w14:textId="0D07056F" w:rsidR="003308D1" w:rsidRPr="00C21AF5" w:rsidRDefault="003308D1" w:rsidP="0059724A">
            <w:pPr>
              <w:spacing w:before="60" w:after="60"/>
              <w:jc w:val="center"/>
              <w:rPr>
                <w:rFonts w:ascii="Arial" w:hAnsi="Arial" w:cs="Arial"/>
                <w:b/>
                <w:bCs/>
              </w:rPr>
            </w:pPr>
            <w:r w:rsidRPr="00C21AF5">
              <w:rPr>
                <w:rFonts w:ascii="Arial" w:hAnsi="Arial" w:cs="Arial"/>
                <w:b/>
                <w:bCs/>
              </w:rPr>
              <w:t xml:space="preserve">Regional </w:t>
            </w:r>
            <w:r w:rsidR="004D49A7">
              <w:rPr>
                <w:rFonts w:ascii="Arial" w:hAnsi="Arial" w:cs="Arial"/>
                <w:b/>
                <w:bCs/>
              </w:rPr>
              <w:br/>
            </w:r>
            <w:r w:rsidRPr="00C21AF5">
              <w:rPr>
                <w:rFonts w:ascii="Arial" w:hAnsi="Arial" w:cs="Arial"/>
                <w:b/>
                <w:bCs/>
              </w:rPr>
              <w:t>NSW %</w:t>
            </w:r>
          </w:p>
        </w:tc>
      </w:tr>
      <w:tr w:rsidR="00C21AF5" w:rsidRPr="00C21AF5" w14:paraId="4BFB7435" w14:textId="4D677E9F" w:rsidTr="00B43D3E">
        <w:tc>
          <w:tcPr>
            <w:tcW w:w="3114" w:type="dxa"/>
          </w:tcPr>
          <w:p w14:paraId="5CC67F3A" w14:textId="6E7C0D26" w:rsidR="003308D1" w:rsidRPr="00C21AF5" w:rsidRDefault="003308D1" w:rsidP="0059724A">
            <w:pPr>
              <w:spacing w:before="60" w:after="60"/>
              <w:rPr>
                <w:rFonts w:ascii="Arial" w:hAnsi="Arial" w:cs="Arial"/>
              </w:rPr>
            </w:pPr>
            <w:r w:rsidRPr="00C21AF5">
              <w:rPr>
                <w:rFonts w:ascii="Arial" w:hAnsi="Arial" w:cs="Arial"/>
              </w:rPr>
              <w:t xml:space="preserve">Fully Owned  </w:t>
            </w:r>
          </w:p>
        </w:tc>
        <w:tc>
          <w:tcPr>
            <w:tcW w:w="2693" w:type="dxa"/>
          </w:tcPr>
          <w:p w14:paraId="460BC117" w14:textId="21737335" w:rsidR="003308D1" w:rsidRPr="00C21AF5" w:rsidRDefault="003308D1" w:rsidP="0059724A">
            <w:pPr>
              <w:spacing w:before="60" w:after="60"/>
              <w:jc w:val="center"/>
              <w:rPr>
                <w:rFonts w:ascii="Arial" w:hAnsi="Arial" w:cs="Arial"/>
              </w:rPr>
            </w:pPr>
            <w:r w:rsidRPr="00C21AF5">
              <w:rPr>
                <w:rFonts w:ascii="Arial" w:hAnsi="Arial" w:cs="Arial"/>
              </w:rPr>
              <w:t xml:space="preserve"> 2,495</w:t>
            </w:r>
          </w:p>
        </w:tc>
        <w:tc>
          <w:tcPr>
            <w:tcW w:w="1276" w:type="dxa"/>
          </w:tcPr>
          <w:p w14:paraId="61C80252" w14:textId="2A21FDAF" w:rsidR="003308D1" w:rsidRPr="00C21AF5" w:rsidRDefault="003308D1" w:rsidP="0059724A">
            <w:pPr>
              <w:spacing w:before="60" w:after="60"/>
              <w:jc w:val="center"/>
              <w:rPr>
                <w:rFonts w:ascii="Arial" w:hAnsi="Arial" w:cs="Arial"/>
              </w:rPr>
            </w:pPr>
            <w:r w:rsidRPr="00C21AF5">
              <w:rPr>
                <w:rFonts w:ascii="Arial" w:hAnsi="Arial" w:cs="Arial"/>
              </w:rPr>
              <w:t>40.1</w:t>
            </w:r>
          </w:p>
        </w:tc>
        <w:tc>
          <w:tcPr>
            <w:tcW w:w="2126" w:type="dxa"/>
          </w:tcPr>
          <w:p w14:paraId="1671739B" w14:textId="221B4BB3" w:rsidR="003308D1" w:rsidRPr="00C21AF5" w:rsidRDefault="003308D1" w:rsidP="0059724A">
            <w:pPr>
              <w:spacing w:before="60" w:after="60"/>
              <w:jc w:val="center"/>
              <w:rPr>
                <w:rFonts w:ascii="Arial" w:hAnsi="Arial" w:cs="Arial"/>
              </w:rPr>
            </w:pPr>
            <w:r w:rsidRPr="00C21AF5">
              <w:rPr>
                <w:rFonts w:ascii="Arial" w:hAnsi="Arial" w:cs="Arial"/>
              </w:rPr>
              <w:t>36.3</w:t>
            </w:r>
          </w:p>
        </w:tc>
      </w:tr>
      <w:tr w:rsidR="00C21AF5" w:rsidRPr="00C21AF5" w14:paraId="7AA37D78" w14:textId="77777777" w:rsidTr="00B43D3E">
        <w:tc>
          <w:tcPr>
            <w:tcW w:w="3114" w:type="dxa"/>
          </w:tcPr>
          <w:p w14:paraId="65967C55" w14:textId="66CE46BB" w:rsidR="003308D1" w:rsidRPr="00C21AF5" w:rsidRDefault="003308D1" w:rsidP="0059724A">
            <w:pPr>
              <w:spacing w:before="60" w:after="60"/>
              <w:rPr>
                <w:rFonts w:ascii="Arial" w:hAnsi="Arial" w:cs="Arial"/>
              </w:rPr>
            </w:pPr>
            <w:r w:rsidRPr="00C21AF5">
              <w:rPr>
                <w:rFonts w:ascii="Arial" w:hAnsi="Arial" w:cs="Arial"/>
              </w:rPr>
              <w:t>Mortgage</w:t>
            </w:r>
          </w:p>
        </w:tc>
        <w:tc>
          <w:tcPr>
            <w:tcW w:w="2693" w:type="dxa"/>
          </w:tcPr>
          <w:p w14:paraId="592CAA36" w14:textId="6410EAE7" w:rsidR="003308D1" w:rsidRPr="00C21AF5" w:rsidRDefault="003308D1" w:rsidP="0059724A">
            <w:pPr>
              <w:spacing w:before="60" w:after="60"/>
              <w:jc w:val="center"/>
              <w:rPr>
                <w:rFonts w:ascii="Arial" w:hAnsi="Arial" w:cs="Arial"/>
              </w:rPr>
            </w:pPr>
            <w:r w:rsidRPr="00C21AF5">
              <w:rPr>
                <w:rFonts w:ascii="Arial" w:hAnsi="Arial" w:cs="Arial"/>
              </w:rPr>
              <w:t>1,616</w:t>
            </w:r>
          </w:p>
        </w:tc>
        <w:tc>
          <w:tcPr>
            <w:tcW w:w="1276" w:type="dxa"/>
          </w:tcPr>
          <w:p w14:paraId="218AB196" w14:textId="135B443F" w:rsidR="003308D1" w:rsidRPr="00C21AF5" w:rsidRDefault="003308D1" w:rsidP="0059724A">
            <w:pPr>
              <w:spacing w:before="60" w:after="60"/>
              <w:jc w:val="center"/>
              <w:rPr>
                <w:rFonts w:ascii="Arial" w:hAnsi="Arial" w:cs="Arial"/>
              </w:rPr>
            </w:pPr>
            <w:r w:rsidRPr="00C21AF5">
              <w:rPr>
                <w:rFonts w:ascii="Arial" w:hAnsi="Arial" w:cs="Arial"/>
              </w:rPr>
              <w:t>25.9</w:t>
            </w:r>
          </w:p>
        </w:tc>
        <w:tc>
          <w:tcPr>
            <w:tcW w:w="2126" w:type="dxa"/>
          </w:tcPr>
          <w:p w14:paraId="60CB8468" w14:textId="1B0016EE" w:rsidR="003308D1" w:rsidRPr="00C21AF5" w:rsidRDefault="003308D1" w:rsidP="0059724A">
            <w:pPr>
              <w:spacing w:before="60" w:after="60"/>
              <w:jc w:val="center"/>
              <w:rPr>
                <w:rFonts w:ascii="Arial" w:hAnsi="Arial" w:cs="Arial"/>
              </w:rPr>
            </w:pPr>
            <w:r w:rsidRPr="00C21AF5">
              <w:rPr>
                <w:rFonts w:ascii="Arial" w:hAnsi="Arial" w:cs="Arial"/>
              </w:rPr>
              <w:t>29.4</w:t>
            </w:r>
          </w:p>
        </w:tc>
      </w:tr>
      <w:tr w:rsidR="00C21AF5" w:rsidRPr="00C21AF5" w14:paraId="143C0512" w14:textId="77777777" w:rsidTr="00B43D3E">
        <w:tc>
          <w:tcPr>
            <w:tcW w:w="3114" w:type="dxa"/>
          </w:tcPr>
          <w:p w14:paraId="26553B44" w14:textId="68633F24" w:rsidR="003308D1" w:rsidRPr="00C21AF5" w:rsidRDefault="003308D1" w:rsidP="0059724A">
            <w:pPr>
              <w:spacing w:before="60" w:after="60"/>
              <w:rPr>
                <w:rFonts w:ascii="Arial" w:hAnsi="Arial" w:cs="Arial"/>
              </w:rPr>
            </w:pPr>
            <w:r w:rsidRPr="00C21AF5">
              <w:rPr>
                <w:rFonts w:ascii="Arial" w:hAnsi="Arial" w:cs="Arial"/>
              </w:rPr>
              <w:t>Renting – Total</w:t>
            </w:r>
          </w:p>
        </w:tc>
        <w:tc>
          <w:tcPr>
            <w:tcW w:w="2693" w:type="dxa"/>
          </w:tcPr>
          <w:p w14:paraId="2ECF628A" w14:textId="5C4ABE77" w:rsidR="003308D1" w:rsidRPr="00C21AF5" w:rsidRDefault="003308D1" w:rsidP="0059724A">
            <w:pPr>
              <w:spacing w:before="60" w:after="60"/>
              <w:jc w:val="center"/>
              <w:rPr>
                <w:rFonts w:ascii="Arial" w:hAnsi="Arial" w:cs="Arial"/>
              </w:rPr>
            </w:pPr>
            <w:r w:rsidRPr="00C21AF5">
              <w:rPr>
                <w:rFonts w:ascii="Arial" w:hAnsi="Arial" w:cs="Arial"/>
              </w:rPr>
              <w:t>1,463</w:t>
            </w:r>
          </w:p>
        </w:tc>
        <w:tc>
          <w:tcPr>
            <w:tcW w:w="1276" w:type="dxa"/>
          </w:tcPr>
          <w:p w14:paraId="650422DE" w14:textId="23D676AC" w:rsidR="003308D1" w:rsidRPr="00C21AF5" w:rsidRDefault="003308D1" w:rsidP="0059724A">
            <w:pPr>
              <w:spacing w:before="60" w:after="60"/>
              <w:jc w:val="center"/>
              <w:rPr>
                <w:rFonts w:ascii="Arial" w:hAnsi="Arial" w:cs="Arial"/>
              </w:rPr>
            </w:pPr>
            <w:r w:rsidRPr="00C21AF5">
              <w:rPr>
                <w:rFonts w:ascii="Arial" w:hAnsi="Arial" w:cs="Arial"/>
              </w:rPr>
              <w:t>23.5</w:t>
            </w:r>
          </w:p>
        </w:tc>
        <w:tc>
          <w:tcPr>
            <w:tcW w:w="2126" w:type="dxa"/>
          </w:tcPr>
          <w:p w14:paraId="6ABA9D93" w14:textId="0054A5A8" w:rsidR="003308D1" w:rsidRPr="00C21AF5" w:rsidRDefault="003308D1" w:rsidP="0059724A">
            <w:pPr>
              <w:spacing w:before="60" w:after="60"/>
              <w:jc w:val="center"/>
              <w:rPr>
                <w:rFonts w:ascii="Arial" w:hAnsi="Arial" w:cs="Arial"/>
              </w:rPr>
            </w:pPr>
            <w:r w:rsidRPr="00C21AF5">
              <w:rPr>
                <w:rFonts w:ascii="Arial" w:hAnsi="Arial" w:cs="Arial"/>
              </w:rPr>
              <w:t>25.7</w:t>
            </w:r>
          </w:p>
        </w:tc>
      </w:tr>
      <w:tr w:rsidR="00C21AF5" w:rsidRPr="00C21AF5" w14:paraId="524CB55E" w14:textId="77777777" w:rsidTr="00B43D3E">
        <w:tc>
          <w:tcPr>
            <w:tcW w:w="3114" w:type="dxa"/>
          </w:tcPr>
          <w:p w14:paraId="606F3461" w14:textId="484F8C70" w:rsidR="003308D1" w:rsidRPr="00C21AF5" w:rsidRDefault="003308D1" w:rsidP="0059724A">
            <w:pPr>
              <w:spacing w:before="60" w:after="60"/>
              <w:rPr>
                <w:rFonts w:ascii="Arial" w:hAnsi="Arial" w:cs="Arial"/>
              </w:rPr>
            </w:pPr>
            <w:r w:rsidRPr="00C21AF5">
              <w:rPr>
                <w:rFonts w:ascii="Arial" w:hAnsi="Arial" w:cs="Arial"/>
              </w:rPr>
              <w:t>Renting – Private</w:t>
            </w:r>
          </w:p>
        </w:tc>
        <w:tc>
          <w:tcPr>
            <w:tcW w:w="2693" w:type="dxa"/>
          </w:tcPr>
          <w:p w14:paraId="25396700" w14:textId="6641DD9E" w:rsidR="003308D1" w:rsidRPr="00C21AF5" w:rsidRDefault="003308D1" w:rsidP="0059724A">
            <w:pPr>
              <w:spacing w:before="60" w:after="60"/>
              <w:jc w:val="center"/>
              <w:rPr>
                <w:rFonts w:ascii="Arial" w:hAnsi="Arial" w:cs="Arial"/>
              </w:rPr>
            </w:pPr>
            <w:r w:rsidRPr="00C21AF5">
              <w:rPr>
                <w:rFonts w:ascii="Arial" w:hAnsi="Arial" w:cs="Arial"/>
              </w:rPr>
              <w:t>1235</w:t>
            </w:r>
          </w:p>
        </w:tc>
        <w:tc>
          <w:tcPr>
            <w:tcW w:w="1276" w:type="dxa"/>
          </w:tcPr>
          <w:p w14:paraId="263124D9" w14:textId="18EE3818" w:rsidR="003308D1" w:rsidRPr="00C21AF5" w:rsidRDefault="003308D1" w:rsidP="0059724A">
            <w:pPr>
              <w:spacing w:before="60" w:after="60"/>
              <w:jc w:val="center"/>
              <w:rPr>
                <w:rFonts w:ascii="Arial" w:hAnsi="Arial" w:cs="Arial"/>
              </w:rPr>
            </w:pPr>
            <w:r w:rsidRPr="00C21AF5">
              <w:rPr>
                <w:rFonts w:ascii="Arial" w:hAnsi="Arial" w:cs="Arial"/>
              </w:rPr>
              <w:t>19.8</w:t>
            </w:r>
          </w:p>
        </w:tc>
        <w:tc>
          <w:tcPr>
            <w:tcW w:w="2126" w:type="dxa"/>
          </w:tcPr>
          <w:p w14:paraId="465F5500" w14:textId="228CFAF5" w:rsidR="003308D1" w:rsidRPr="00C21AF5" w:rsidRDefault="003308D1" w:rsidP="0059724A">
            <w:pPr>
              <w:spacing w:before="60" w:after="60"/>
              <w:jc w:val="center"/>
              <w:rPr>
                <w:rFonts w:ascii="Arial" w:hAnsi="Arial" w:cs="Arial"/>
              </w:rPr>
            </w:pPr>
            <w:r w:rsidRPr="00C21AF5">
              <w:rPr>
                <w:rFonts w:ascii="Arial" w:hAnsi="Arial" w:cs="Arial"/>
              </w:rPr>
              <w:t>21.7</w:t>
            </w:r>
          </w:p>
        </w:tc>
      </w:tr>
      <w:tr w:rsidR="00C21AF5" w:rsidRPr="00C21AF5" w14:paraId="647EDDE3" w14:textId="77777777" w:rsidTr="00B43D3E">
        <w:tc>
          <w:tcPr>
            <w:tcW w:w="3114" w:type="dxa"/>
          </w:tcPr>
          <w:p w14:paraId="401517D2" w14:textId="5F580ED2" w:rsidR="003308D1" w:rsidRPr="00C21AF5" w:rsidRDefault="003308D1" w:rsidP="0059724A">
            <w:pPr>
              <w:spacing w:before="60" w:after="60"/>
              <w:rPr>
                <w:rFonts w:ascii="Arial" w:hAnsi="Arial" w:cs="Arial"/>
              </w:rPr>
            </w:pPr>
            <w:r w:rsidRPr="00C21AF5">
              <w:rPr>
                <w:rFonts w:ascii="Arial" w:hAnsi="Arial" w:cs="Arial"/>
              </w:rPr>
              <w:t>Renting – Social Housing</w:t>
            </w:r>
          </w:p>
        </w:tc>
        <w:tc>
          <w:tcPr>
            <w:tcW w:w="2693" w:type="dxa"/>
          </w:tcPr>
          <w:p w14:paraId="043F98AD" w14:textId="7BB6E27B" w:rsidR="003308D1" w:rsidRPr="00C21AF5" w:rsidRDefault="003308D1" w:rsidP="0059724A">
            <w:pPr>
              <w:spacing w:before="60" w:after="60"/>
              <w:jc w:val="center"/>
              <w:rPr>
                <w:rFonts w:ascii="Arial" w:hAnsi="Arial" w:cs="Arial"/>
              </w:rPr>
            </w:pPr>
            <w:r w:rsidRPr="00C21AF5">
              <w:rPr>
                <w:rFonts w:ascii="Arial" w:hAnsi="Arial" w:cs="Arial"/>
              </w:rPr>
              <w:t>213</w:t>
            </w:r>
          </w:p>
        </w:tc>
        <w:tc>
          <w:tcPr>
            <w:tcW w:w="1276" w:type="dxa"/>
          </w:tcPr>
          <w:p w14:paraId="16D0DFF8" w14:textId="3CF13A73" w:rsidR="003308D1" w:rsidRPr="00C21AF5" w:rsidRDefault="003308D1" w:rsidP="0059724A">
            <w:pPr>
              <w:spacing w:before="60" w:after="60"/>
              <w:jc w:val="center"/>
              <w:rPr>
                <w:rFonts w:ascii="Arial" w:hAnsi="Arial" w:cs="Arial"/>
              </w:rPr>
            </w:pPr>
            <w:r w:rsidRPr="00C21AF5">
              <w:rPr>
                <w:rFonts w:ascii="Arial" w:hAnsi="Arial" w:cs="Arial"/>
              </w:rPr>
              <w:t>3.4</w:t>
            </w:r>
          </w:p>
        </w:tc>
        <w:tc>
          <w:tcPr>
            <w:tcW w:w="2126" w:type="dxa"/>
          </w:tcPr>
          <w:p w14:paraId="662CECA2" w14:textId="5604573D" w:rsidR="003308D1" w:rsidRPr="00C21AF5" w:rsidRDefault="003308D1" w:rsidP="0059724A">
            <w:pPr>
              <w:spacing w:before="60" w:after="60"/>
              <w:jc w:val="center"/>
              <w:rPr>
                <w:rFonts w:ascii="Arial" w:hAnsi="Arial" w:cs="Arial"/>
              </w:rPr>
            </w:pPr>
            <w:r w:rsidRPr="00C21AF5">
              <w:rPr>
                <w:rFonts w:ascii="Arial" w:hAnsi="Arial" w:cs="Arial"/>
              </w:rPr>
              <w:t>3.8</w:t>
            </w:r>
          </w:p>
        </w:tc>
      </w:tr>
      <w:tr w:rsidR="00C21AF5" w:rsidRPr="00C21AF5" w14:paraId="4F70CE5A" w14:textId="77777777" w:rsidTr="00B43D3E">
        <w:tc>
          <w:tcPr>
            <w:tcW w:w="3114" w:type="dxa"/>
          </w:tcPr>
          <w:p w14:paraId="30041CB6" w14:textId="680F4DBE" w:rsidR="003308D1" w:rsidRPr="00C21AF5" w:rsidRDefault="003308D1" w:rsidP="0059724A">
            <w:pPr>
              <w:spacing w:before="60" w:after="60"/>
              <w:rPr>
                <w:rFonts w:ascii="Arial" w:hAnsi="Arial" w:cs="Arial"/>
              </w:rPr>
            </w:pPr>
            <w:r w:rsidRPr="00C21AF5">
              <w:rPr>
                <w:rFonts w:ascii="Arial" w:hAnsi="Arial" w:cs="Arial"/>
              </w:rPr>
              <w:t>Other Tenure Type</w:t>
            </w:r>
          </w:p>
        </w:tc>
        <w:tc>
          <w:tcPr>
            <w:tcW w:w="2693" w:type="dxa"/>
          </w:tcPr>
          <w:p w14:paraId="28CE45AA" w14:textId="485D2D50" w:rsidR="003308D1" w:rsidRPr="00C21AF5" w:rsidRDefault="003308D1" w:rsidP="0059724A">
            <w:pPr>
              <w:spacing w:before="60" w:after="60"/>
              <w:jc w:val="center"/>
              <w:rPr>
                <w:rFonts w:ascii="Arial" w:hAnsi="Arial" w:cs="Arial"/>
              </w:rPr>
            </w:pPr>
            <w:r w:rsidRPr="00C21AF5">
              <w:rPr>
                <w:rFonts w:ascii="Arial" w:hAnsi="Arial" w:cs="Arial"/>
              </w:rPr>
              <w:t>164</w:t>
            </w:r>
          </w:p>
        </w:tc>
        <w:tc>
          <w:tcPr>
            <w:tcW w:w="1276" w:type="dxa"/>
          </w:tcPr>
          <w:p w14:paraId="0C53528B" w14:textId="2861A082" w:rsidR="003308D1" w:rsidRPr="00C21AF5" w:rsidRDefault="003308D1" w:rsidP="0059724A">
            <w:pPr>
              <w:spacing w:before="60" w:after="60"/>
              <w:jc w:val="center"/>
              <w:rPr>
                <w:rFonts w:ascii="Arial" w:hAnsi="Arial" w:cs="Arial"/>
              </w:rPr>
            </w:pPr>
            <w:r w:rsidRPr="00C21AF5">
              <w:rPr>
                <w:rFonts w:ascii="Arial" w:hAnsi="Arial" w:cs="Arial"/>
              </w:rPr>
              <w:t>2.6</w:t>
            </w:r>
          </w:p>
        </w:tc>
        <w:tc>
          <w:tcPr>
            <w:tcW w:w="2126" w:type="dxa"/>
          </w:tcPr>
          <w:p w14:paraId="7392526B" w14:textId="55224C7C" w:rsidR="003308D1" w:rsidRPr="00C21AF5" w:rsidRDefault="003308D1" w:rsidP="0059724A">
            <w:pPr>
              <w:spacing w:before="60" w:after="60"/>
              <w:jc w:val="center"/>
              <w:rPr>
                <w:rFonts w:ascii="Arial" w:hAnsi="Arial" w:cs="Arial"/>
              </w:rPr>
            </w:pPr>
            <w:r w:rsidRPr="00C21AF5">
              <w:rPr>
                <w:rFonts w:ascii="Arial" w:hAnsi="Arial" w:cs="Arial"/>
              </w:rPr>
              <w:t>2.3</w:t>
            </w:r>
          </w:p>
        </w:tc>
      </w:tr>
      <w:tr w:rsidR="00C21AF5" w:rsidRPr="00C21AF5" w14:paraId="01BD36CB" w14:textId="77777777" w:rsidTr="00B43D3E">
        <w:tc>
          <w:tcPr>
            <w:tcW w:w="3114" w:type="dxa"/>
          </w:tcPr>
          <w:p w14:paraId="6554598C" w14:textId="6ED38A6A" w:rsidR="003308D1" w:rsidRPr="00C21AF5" w:rsidRDefault="003308D1" w:rsidP="0059724A">
            <w:pPr>
              <w:spacing w:before="60" w:after="60"/>
              <w:rPr>
                <w:rFonts w:ascii="Arial" w:hAnsi="Arial" w:cs="Arial"/>
              </w:rPr>
            </w:pPr>
            <w:r w:rsidRPr="00C21AF5">
              <w:rPr>
                <w:rFonts w:ascii="Arial" w:hAnsi="Arial" w:cs="Arial"/>
              </w:rPr>
              <w:lastRenderedPageBreak/>
              <w:t>Not Stated</w:t>
            </w:r>
          </w:p>
        </w:tc>
        <w:tc>
          <w:tcPr>
            <w:tcW w:w="2693" w:type="dxa"/>
          </w:tcPr>
          <w:p w14:paraId="6FFC3C6E" w14:textId="51754838" w:rsidR="003308D1" w:rsidRPr="00C21AF5" w:rsidRDefault="003308D1" w:rsidP="0059724A">
            <w:pPr>
              <w:spacing w:before="60" w:after="60"/>
              <w:jc w:val="center"/>
              <w:rPr>
                <w:rFonts w:ascii="Arial" w:hAnsi="Arial" w:cs="Arial"/>
              </w:rPr>
            </w:pPr>
            <w:r w:rsidRPr="00C21AF5">
              <w:rPr>
                <w:rFonts w:ascii="Arial" w:hAnsi="Arial" w:cs="Arial"/>
              </w:rPr>
              <w:t>491</w:t>
            </w:r>
          </w:p>
        </w:tc>
        <w:tc>
          <w:tcPr>
            <w:tcW w:w="1276" w:type="dxa"/>
          </w:tcPr>
          <w:p w14:paraId="3AA7295E" w14:textId="6C897AB8" w:rsidR="003308D1" w:rsidRPr="00C21AF5" w:rsidRDefault="003308D1" w:rsidP="0059724A">
            <w:pPr>
              <w:spacing w:before="60" w:after="60"/>
              <w:jc w:val="center"/>
              <w:rPr>
                <w:rFonts w:ascii="Arial" w:hAnsi="Arial" w:cs="Arial"/>
              </w:rPr>
            </w:pPr>
            <w:r w:rsidRPr="00C21AF5">
              <w:rPr>
                <w:rFonts w:ascii="Arial" w:hAnsi="Arial" w:cs="Arial"/>
              </w:rPr>
              <w:t>7.9</w:t>
            </w:r>
          </w:p>
        </w:tc>
        <w:tc>
          <w:tcPr>
            <w:tcW w:w="2126" w:type="dxa"/>
          </w:tcPr>
          <w:p w14:paraId="39EADA15" w14:textId="1B789203" w:rsidR="003308D1" w:rsidRPr="00C21AF5" w:rsidRDefault="003308D1" w:rsidP="0059724A">
            <w:pPr>
              <w:spacing w:before="60" w:after="60"/>
              <w:jc w:val="center"/>
              <w:rPr>
                <w:rFonts w:ascii="Arial" w:hAnsi="Arial" w:cs="Arial"/>
              </w:rPr>
            </w:pPr>
            <w:r w:rsidRPr="00C21AF5">
              <w:rPr>
                <w:rFonts w:ascii="Arial" w:hAnsi="Arial" w:cs="Arial"/>
              </w:rPr>
              <w:t>6.4</w:t>
            </w:r>
          </w:p>
        </w:tc>
      </w:tr>
      <w:tr w:rsidR="00C21AF5" w:rsidRPr="00C21AF5" w14:paraId="7EDCC6A6" w14:textId="77777777" w:rsidTr="00B43D3E">
        <w:tc>
          <w:tcPr>
            <w:tcW w:w="3114" w:type="dxa"/>
            <w:shd w:val="clear" w:color="auto" w:fill="D9E2F3" w:themeFill="accent1" w:themeFillTint="33"/>
          </w:tcPr>
          <w:p w14:paraId="43E0FB43" w14:textId="1B5B41BD" w:rsidR="003308D1" w:rsidRPr="00C21AF5" w:rsidRDefault="003308D1" w:rsidP="0059724A">
            <w:pPr>
              <w:spacing w:before="60" w:after="60"/>
              <w:rPr>
                <w:rFonts w:ascii="Arial" w:hAnsi="Arial" w:cs="Arial"/>
                <w:b/>
                <w:bCs/>
              </w:rPr>
            </w:pPr>
            <w:r w:rsidRPr="00C21AF5">
              <w:rPr>
                <w:rFonts w:ascii="Arial" w:hAnsi="Arial" w:cs="Arial"/>
                <w:b/>
                <w:bCs/>
              </w:rPr>
              <w:t>Total Households</w:t>
            </w:r>
          </w:p>
        </w:tc>
        <w:tc>
          <w:tcPr>
            <w:tcW w:w="2693" w:type="dxa"/>
            <w:shd w:val="clear" w:color="auto" w:fill="D9E2F3" w:themeFill="accent1" w:themeFillTint="33"/>
          </w:tcPr>
          <w:p w14:paraId="2914174D" w14:textId="407AE04C" w:rsidR="003308D1" w:rsidRPr="00C21AF5" w:rsidRDefault="003308D1" w:rsidP="0059724A">
            <w:pPr>
              <w:spacing w:before="60" w:after="60"/>
              <w:jc w:val="center"/>
              <w:rPr>
                <w:rFonts w:ascii="Arial" w:hAnsi="Arial" w:cs="Arial"/>
                <w:b/>
                <w:bCs/>
              </w:rPr>
            </w:pPr>
            <w:r w:rsidRPr="00C21AF5">
              <w:rPr>
                <w:rFonts w:ascii="Arial" w:hAnsi="Arial" w:cs="Arial"/>
                <w:b/>
                <w:bCs/>
              </w:rPr>
              <w:t>6,229</w:t>
            </w:r>
          </w:p>
        </w:tc>
        <w:tc>
          <w:tcPr>
            <w:tcW w:w="1276" w:type="dxa"/>
            <w:shd w:val="clear" w:color="auto" w:fill="D9E2F3" w:themeFill="accent1" w:themeFillTint="33"/>
          </w:tcPr>
          <w:p w14:paraId="02CEB646" w14:textId="732E06E5" w:rsidR="003308D1" w:rsidRPr="00C21AF5" w:rsidRDefault="003308D1" w:rsidP="0059724A">
            <w:pPr>
              <w:spacing w:before="60" w:after="60"/>
              <w:jc w:val="center"/>
              <w:rPr>
                <w:rFonts w:ascii="Arial" w:hAnsi="Arial" w:cs="Arial"/>
                <w:b/>
                <w:bCs/>
              </w:rPr>
            </w:pPr>
            <w:r w:rsidRPr="00C21AF5">
              <w:rPr>
                <w:rFonts w:ascii="Arial" w:hAnsi="Arial" w:cs="Arial"/>
                <w:b/>
                <w:bCs/>
              </w:rPr>
              <w:t>100.0</w:t>
            </w:r>
          </w:p>
        </w:tc>
        <w:tc>
          <w:tcPr>
            <w:tcW w:w="2126" w:type="dxa"/>
            <w:shd w:val="clear" w:color="auto" w:fill="D9E2F3" w:themeFill="accent1" w:themeFillTint="33"/>
          </w:tcPr>
          <w:p w14:paraId="4F3351FA" w14:textId="05EC2E2F" w:rsidR="003308D1" w:rsidRPr="00C21AF5" w:rsidRDefault="003308D1" w:rsidP="0059724A">
            <w:pPr>
              <w:spacing w:before="60" w:after="60"/>
              <w:jc w:val="center"/>
              <w:rPr>
                <w:rFonts w:ascii="Arial" w:hAnsi="Arial" w:cs="Arial"/>
                <w:b/>
                <w:bCs/>
              </w:rPr>
            </w:pPr>
            <w:r w:rsidRPr="00C21AF5">
              <w:rPr>
                <w:rFonts w:ascii="Arial" w:hAnsi="Arial" w:cs="Arial"/>
                <w:b/>
                <w:bCs/>
              </w:rPr>
              <w:t>100.0</w:t>
            </w:r>
          </w:p>
        </w:tc>
      </w:tr>
    </w:tbl>
    <w:p w14:paraId="504EF54E" w14:textId="7C394864" w:rsidR="007E22D5" w:rsidRPr="001012FC" w:rsidRDefault="0047306B" w:rsidP="00830E52">
      <w:pPr>
        <w:rPr>
          <w:rFonts w:ascii="Arial" w:hAnsi="Arial" w:cs="Arial"/>
          <w:i/>
          <w:iCs/>
        </w:rPr>
      </w:pPr>
      <w:r w:rsidRPr="00C21AF5">
        <w:rPr>
          <w:rFonts w:ascii="Arial" w:hAnsi="Arial" w:cs="Arial"/>
          <w:i/>
          <w:iCs/>
        </w:rPr>
        <w:t>Source:  Census Data</w:t>
      </w:r>
      <w:r w:rsidR="004D49A7">
        <w:rPr>
          <w:rFonts w:ascii="Arial" w:hAnsi="Arial" w:cs="Arial"/>
          <w:i/>
          <w:iCs/>
        </w:rPr>
        <w:t xml:space="preserve"> </w:t>
      </w:r>
      <w:r w:rsidR="000765B1">
        <w:rPr>
          <w:rFonts w:ascii="Arial" w:hAnsi="Arial" w:cs="Arial"/>
          <w:i/>
          <w:iCs/>
        </w:rPr>
        <w:t>2021</w:t>
      </w:r>
    </w:p>
    <w:tbl>
      <w:tblPr>
        <w:tblStyle w:val="TableGrid"/>
        <w:tblW w:w="9209" w:type="dxa"/>
        <w:tblLook w:val="04A0" w:firstRow="1" w:lastRow="0" w:firstColumn="1" w:lastColumn="0" w:noHBand="0" w:noVBand="1"/>
      </w:tblPr>
      <w:tblGrid>
        <w:gridCol w:w="1650"/>
        <w:gridCol w:w="1096"/>
        <w:gridCol w:w="1063"/>
        <w:gridCol w:w="1414"/>
        <w:gridCol w:w="1174"/>
        <w:gridCol w:w="1594"/>
        <w:gridCol w:w="1218"/>
      </w:tblGrid>
      <w:tr w:rsidR="00C21AF5" w:rsidRPr="00C21AF5" w14:paraId="0F6B953B" w14:textId="77777777" w:rsidTr="00B43D3E">
        <w:trPr>
          <w:tblHeader/>
        </w:trPr>
        <w:tc>
          <w:tcPr>
            <w:tcW w:w="1695" w:type="dxa"/>
            <w:shd w:val="clear" w:color="auto" w:fill="002060"/>
          </w:tcPr>
          <w:p w14:paraId="23075A09" w14:textId="77777777" w:rsidR="007E22D5" w:rsidRPr="00C21AF5" w:rsidRDefault="007E22D5" w:rsidP="00350D14">
            <w:pPr>
              <w:spacing w:before="60" w:after="60"/>
              <w:jc w:val="center"/>
              <w:rPr>
                <w:rFonts w:ascii="Arial" w:hAnsi="Arial" w:cs="Arial"/>
                <w:b/>
                <w:bCs/>
              </w:rPr>
            </w:pPr>
          </w:p>
        </w:tc>
        <w:tc>
          <w:tcPr>
            <w:tcW w:w="1087" w:type="dxa"/>
            <w:shd w:val="clear" w:color="auto" w:fill="002060"/>
          </w:tcPr>
          <w:p w14:paraId="6C15D4EC" w14:textId="77777777" w:rsidR="007E22D5" w:rsidRPr="00C21AF5" w:rsidRDefault="007E22D5" w:rsidP="00350D14">
            <w:pPr>
              <w:spacing w:before="60" w:after="60"/>
              <w:jc w:val="center"/>
              <w:rPr>
                <w:rFonts w:ascii="Arial" w:hAnsi="Arial" w:cs="Arial"/>
                <w:b/>
                <w:bCs/>
              </w:rPr>
            </w:pPr>
            <w:r w:rsidRPr="00C21AF5">
              <w:rPr>
                <w:rFonts w:ascii="Arial" w:hAnsi="Arial" w:cs="Arial"/>
                <w:b/>
                <w:bCs/>
              </w:rPr>
              <w:t>Adelong</w:t>
            </w:r>
          </w:p>
        </w:tc>
        <w:tc>
          <w:tcPr>
            <w:tcW w:w="1074" w:type="dxa"/>
            <w:shd w:val="clear" w:color="auto" w:fill="002060"/>
          </w:tcPr>
          <w:p w14:paraId="1C9650C8" w14:textId="77777777" w:rsidR="007E22D5" w:rsidRPr="00C21AF5" w:rsidRDefault="007E22D5" w:rsidP="00350D14">
            <w:pPr>
              <w:spacing w:before="60" w:after="60"/>
              <w:jc w:val="center"/>
              <w:rPr>
                <w:rFonts w:ascii="Arial" w:hAnsi="Arial" w:cs="Arial"/>
                <w:b/>
                <w:bCs/>
              </w:rPr>
            </w:pPr>
            <w:r w:rsidRPr="00C21AF5">
              <w:rPr>
                <w:rFonts w:ascii="Arial" w:hAnsi="Arial" w:cs="Arial"/>
                <w:b/>
                <w:bCs/>
              </w:rPr>
              <w:t>Batlow</w:t>
            </w:r>
          </w:p>
        </w:tc>
        <w:tc>
          <w:tcPr>
            <w:tcW w:w="1353" w:type="dxa"/>
            <w:shd w:val="clear" w:color="auto" w:fill="002060"/>
          </w:tcPr>
          <w:p w14:paraId="4DA5C3A0" w14:textId="77777777" w:rsidR="007E22D5" w:rsidRPr="00C21AF5" w:rsidRDefault="007E22D5" w:rsidP="00350D14">
            <w:pPr>
              <w:spacing w:before="60" w:after="60"/>
              <w:jc w:val="center"/>
              <w:rPr>
                <w:rFonts w:ascii="Arial" w:hAnsi="Arial" w:cs="Arial"/>
                <w:b/>
                <w:bCs/>
              </w:rPr>
            </w:pPr>
            <w:r w:rsidRPr="00C21AF5">
              <w:rPr>
                <w:rFonts w:ascii="Arial" w:hAnsi="Arial" w:cs="Arial"/>
                <w:b/>
                <w:bCs/>
              </w:rPr>
              <w:t>Khancoban</w:t>
            </w:r>
          </w:p>
        </w:tc>
        <w:tc>
          <w:tcPr>
            <w:tcW w:w="1179" w:type="dxa"/>
            <w:shd w:val="clear" w:color="auto" w:fill="002060"/>
          </w:tcPr>
          <w:p w14:paraId="6B4EA917" w14:textId="77777777" w:rsidR="007E22D5" w:rsidRPr="00C21AF5" w:rsidRDefault="007E22D5" w:rsidP="00350D14">
            <w:pPr>
              <w:spacing w:before="60" w:after="60"/>
              <w:jc w:val="center"/>
              <w:rPr>
                <w:rFonts w:ascii="Arial" w:hAnsi="Arial" w:cs="Arial"/>
                <w:b/>
                <w:bCs/>
              </w:rPr>
            </w:pPr>
            <w:r w:rsidRPr="00C21AF5">
              <w:rPr>
                <w:rFonts w:ascii="Arial" w:hAnsi="Arial" w:cs="Arial"/>
                <w:b/>
                <w:bCs/>
              </w:rPr>
              <w:t>Talbingo</w:t>
            </w:r>
          </w:p>
        </w:tc>
        <w:tc>
          <w:tcPr>
            <w:tcW w:w="1572" w:type="dxa"/>
            <w:shd w:val="clear" w:color="auto" w:fill="002060"/>
          </w:tcPr>
          <w:p w14:paraId="43B9BAA3" w14:textId="77777777" w:rsidR="007E22D5" w:rsidRPr="00C21AF5" w:rsidRDefault="007E22D5" w:rsidP="00350D14">
            <w:pPr>
              <w:spacing w:before="60" w:after="60"/>
              <w:jc w:val="center"/>
              <w:rPr>
                <w:rFonts w:ascii="Arial" w:hAnsi="Arial" w:cs="Arial"/>
                <w:b/>
                <w:bCs/>
              </w:rPr>
            </w:pPr>
            <w:r w:rsidRPr="00C21AF5">
              <w:rPr>
                <w:rFonts w:ascii="Arial" w:hAnsi="Arial" w:cs="Arial"/>
                <w:b/>
                <w:bCs/>
              </w:rPr>
              <w:t>Tumbarumba</w:t>
            </w:r>
          </w:p>
        </w:tc>
        <w:tc>
          <w:tcPr>
            <w:tcW w:w="1249" w:type="dxa"/>
            <w:shd w:val="clear" w:color="auto" w:fill="002060"/>
          </w:tcPr>
          <w:p w14:paraId="4739CC9E" w14:textId="77777777" w:rsidR="007E22D5" w:rsidRPr="00C21AF5" w:rsidRDefault="007E22D5" w:rsidP="00350D14">
            <w:pPr>
              <w:spacing w:before="60" w:after="60"/>
              <w:jc w:val="center"/>
              <w:rPr>
                <w:rFonts w:ascii="Arial" w:hAnsi="Arial" w:cs="Arial"/>
                <w:b/>
                <w:bCs/>
              </w:rPr>
            </w:pPr>
            <w:r w:rsidRPr="00C21AF5">
              <w:rPr>
                <w:rFonts w:ascii="Arial" w:hAnsi="Arial" w:cs="Arial"/>
                <w:b/>
                <w:bCs/>
              </w:rPr>
              <w:t>Tumut</w:t>
            </w:r>
          </w:p>
        </w:tc>
      </w:tr>
      <w:tr w:rsidR="00C21AF5" w:rsidRPr="00C21AF5" w14:paraId="3817737C" w14:textId="77777777" w:rsidTr="00B43D3E">
        <w:tc>
          <w:tcPr>
            <w:tcW w:w="1695" w:type="dxa"/>
          </w:tcPr>
          <w:p w14:paraId="2D48A504" w14:textId="77777777" w:rsidR="007E22D5" w:rsidRPr="00C21AF5" w:rsidRDefault="007E22D5" w:rsidP="00350D14">
            <w:pPr>
              <w:spacing w:before="60" w:after="60"/>
              <w:rPr>
                <w:rFonts w:ascii="Arial" w:hAnsi="Arial" w:cs="Arial"/>
              </w:rPr>
            </w:pPr>
            <w:r w:rsidRPr="00C21AF5">
              <w:rPr>
                <w:rFonts w:ascii="Arial" w:hAnsi="Arial" w:cs="Arial"/>
              </w:rPr>
              <w:t>Fully Owned</w:t>
            </w:r>
          </w:p>
        </w:tc>
        <w:tc>
          <w:tcPr>
            <w:tcW w:w="1087" w:type="dxa"/>
          </w:tcPr>
          <w:p w14:paraId="56EF6737" w14:textId="77777777" w:rsidR="007E22D5" w:rsidRPr="00C21AF5" w:rsidRDefault="007E22D5" w:rsidP="00350D14">
            <w:pPr>
              <w:spacing w:before="60" w:after="60"/>
              <w:jc w:val="center"/>
              <w:rPr>
                <w:rFonts w:ascii="Arial" w:hAnsi="Arial" w:cs="Arial"/>
              </w:rPr>
            </w:pPr>
            <w:r w:rsidRPr="00C21AF5">
              <w:rPr>
                <w:rFonts w:ascii="Arial" w:hAnsi="Arial" w:cs="Arial"/>
              </w:rPr>
              <w:t>49.7</w:t>
            </w:r>
          </w:p>
        </w:tc>
        <w:tc>
          <w:tcPr>
            <w:tcW w:w="1074" w:type="dxa"/>
          </w:tcPr>
          <w:p w14:paraId="39577DE0" w14:textId="77777777" w:rsidR="007E22D5" w:rsidRPr="00C21AF5" w:rsidRDefault="007E22D5" w:rsidP="00350D14">
            <w:pPr>
              <w:spacing w:before="60" w:after="60"/>
              <w:jc w:val="center"/>
              <w:rPr>
                <w:rFonts w:ascii="Arial" w:hAnsi="Arial" w:cs="Arial"/>
              </w:rPr>
            </w:pPr>
            <w:r w:rsidRPr="00C21AF5">
              <w:rPr>
                <w:rFonts w:ascii="Arial" w:hAnsi="Arial" w:cs="Arial"/>
              </w:rPr>
              <w:t>48.3</w:t>
            </w:r>
          </w:p>
        </w:tc>
        <w:tc>
          <w:tcPr>
            <w:tcW w:w="1353" w:type="dxa"/>
          </w:tcPr>
          <w:p w14:paraId="6C84CC7E" w14:textId="77777777" w:rsidR="007E22D5" w:rsidRPr="00C21AF5" w:rsidRDefault="007E22D5" w:rsidP="00350D14">
            <w:pPr>
              <w:spacing w:before="60" w:after="60"/>
              <w:jc w:val="center"/>
              <w:rPr>
                <w:rFonts w:ascii="Arial" w:hAnsi="Arial" w:cs="Arial"/>
              </w:rPr>
            </w:pPr>
            <w:r w:rsidRPr="00C21AF5">
              <w:rPr>
                <w:rFonts w:ascii="Arial" w:hAnsi="Arial" w:cs="Arial"/>
              </w:rPr>
              <w:t>52.6</w:t>
            </w:r>
          </w:p>
        </w:tc>
        <w:tc>
          <w:tcPr>
            <w:tcW w:w="1179" w:type="dxa"/>
          </w:tcPr>
          <w:p w14:paraId="3DA600F9" w14:textId="77777777" w:rsidR="007E22D5" w:rsidRPr="00C21AF5" w:rsidRDefault="007E22D5" w:rsidP="00350D14">
            <w:pPr>
              <w:spacing w:before="60" w:after="60"/>
              <w:jc w:val="center"/>
              <w:rPr>
                <w:rFonts w:ascii="Arial" w:hAnsi="Arial" w:cs="Arial"/>
              </w:rPr>
            </w:pPr>
            <w:r w:rsidRPr="00C21AF5">
              <w:rPr>
                <w:rFonts w:ascii="Arial" w:hAnsi="Arial" w:cs="Arial"/>
              </w:rPr>
              <w:t>55.9</w:t>
            </w:r>
          </w:p>
        </w:tc>
        <w:tc>
          <w:tcPr>
            <w:tcW w:w="1572" w:type="dxa"/>
          </w:tcPr>
          <w:p w14:paraId="24802C65" w14:textId="77777777" w:rsidR="007E22D5" w:rsidRPr="00C21AF5" w:rsidRDefault="007E22D5" w:rsidP="00350D14">
            <w:pPr>
              <w:spacing w:before="60" w:after="60"/>
              <w:jc w:val="center"/>
              <w:rPr>
                <w:rFonts w:ascii="Arial" w:hAnsi="Arial" w:cs="Arial"/>
              </w:rPr>
            </w:pPr>
            <w:r w:rsidRPr="00C21AF5">
              <w:rPr>
                <w:rFonts w:ascii="Arial" w:hAnsi="Arial" w:cs="Arial"/>
              </w:rPr>
              <w:t>40.2</w:t>
            </w:r>
          </w:p>
        </w:tc>
        <w:tc>
          <w:tcPr>
            <w:tcW w:w="1249" w:type="dxa"/>
          </w:tcPr>
          <w:p w14:paraId="6433F3A9" w14:textId="77777777" w:rsidR="007E22D5" w:rsidRPr="00C21AF5" w:rsidRDefault="007E22D5" w:rsidP="00350D14">
            <w:pPr>
              <w:spacing w:before="60" w:after="60"/>
              <w:jc w:val="center"/>
              <w:rPr>
                <w:rFonts w:ascii="Arial" w:hAnsi="Arial" w:cs="Arial"/>
              </w:rPr>
            </w:pPr>
            <w:r w:rsidRPr="00C21AF5">
              <w:rPr>
                <w:rFonts w:ascii="Arial" w:hAnsi="Arial" w:cs="Arial"/>
              </w:rPr>
              <w:t>39.1</w:t>
            </w:r>
          </w:p>
        </w:tc>
      </w:tr>
      <w:tr w:rsidR="00C21AF5" w:rsidRPr="00C21AF5" w14:paraId="007EC717" w14:textId="77777777" w:rsidTr="00B43D3E">
        <w:tc>
          <w:tcPr>
            <w:tcW w:w="1695" w:type="dxa"/>
          </w:tcPr>
          <w:p w14:paraId="76B634C2" w14:textId="77777777" w:rsidR="007E22D5" w:rsidRPr="00C21AF5" w:rsidRDefault="007E22D5" w:rsidP="00350D14">
            <w:pPr>
              <w:spacing w:before="60" w:after="60"/>
              <w:rPr>
                <w:rFonts w:ascii="Arial" w:hAnsi="Arial" w:cs="Arial"/>
              </w:rPr>
            </w:pPr>
            <w:r w:rsidRPr="00C21AF5">
              <w:rPr>
                <w:rFonts w:ascii="Arial" w:hAnsi="Arial" w:cs="Arial"/>
              </w:rPr>
              <w:t>Mortgage</w:t>
            </w:r>
          </w:p>
        </w:tc>
        <w:tc>
          <w:tcPr>
            <w:tcW w:w="1087" w:type="dxa"/>
          </w:tcPr>
          <w:p w14:paraId="4712F914" w14:textId="77777777" w:rsidR="007E22D5" w:rsidRPr="00C21AF5" w:rsidRDefault="007E22D5" w:rsidP="00350D14">
            <w:pPr>
              <w:spacing w:before="60" w:after="60"/>
              <w:jc w:val="center"/>
              <w:rPr>
                <w:rFonts w:ascii="Arial" w:hAnsi="Arial" w:cs="Arial"/>
              </w:rPr>
            </w:pPr>
            <w:r w:rsidRPr="00C21AF5">
              <w:rPr>
                <w:rFonts w:ascii="Arial" w:hAnsi="Arial" w:cs="Arial"/>
              </w:rPr>
              <w:t>28</w:t>
            </w:r>
          </w:p>
        </w:tc>
        <w:tc>
          <w:tcPr>
            <w:tcW w:w="1074" w:type="dxa"/>
          </w:tcPr>
          <w:p w14:paraId="3DEA3ED2" w14:textId="77777777" w:rsidR="007E22D5" w:rsidRPr="00C21AF5" w:rsidRDefault="007E22D5" w:rsidP="00350D14">
            <w:pPr>
              <w:spacing w:before="60" w:after="60"/>
              <w:jc w:val="center"/>
              <w:rPr>
                <w:rFonts w:ascii="Arial" w:hAnsi="Arial" w:cs="Arial"/>
              </w:rPr>
            </w:pPr>
            <w:r w:rsidRPr="00C21AF5">
              <w:rPr>
                <w:rFonts w:ascii="Arial" w:hAnsi="Arial" w:cs="Arial"/>
              </w:rPr>
              <w:t>27.5</w:t>
            </w:r>
          </w:p>
        </w:tc>
        <w:tc>
          <w:tcPr>
            <w:tcW w:w="1353" w:type="dxa"/>
          </w:tcPr>
          <w:p w14:paraId="5E78CDDD" w14:textId="77777777" w:rsidR="007E22D5" w:rsidRPr="00C21AF5" w:rsidRDefault="007E22D5" w:rsidP="00350D14">
            <w:pPr>
              <w:spacing w:before="60" w:after="60"/>
              <w:jc w:val="center"/>
              <w:rPr>
                <w:rFonts w:ascii="Arial" w:hAnsi="Arial" w:cs="Arial"/>
              </w:rPr>
            </w:pPr>
            <w:r w:rsidRPr="00C21AF5">
              <w:rPr>
                <w:rFonts w:ascii="Arial" w:hAnsi="Arial" w:cs="Arial"/>
              </w:rPr>
              <w:t>21.6</w:t>
            </w:r>
          </w:p>
        </w:tc>
        <w:tc>
          <w:tcPr>
            <w:tcW w:w="1179" w:type="dxa"/>
          </w:tcPr>
          <w:p w14:paraId="5B7E6D60" w14:textId="77777777" w:rsidR="007E22D5" w:rsidRPr="00C21AF5" w:rsidRDefault="007E22D5" w:rsidP="00350D14">
            <w:pPr>
              <w:spacing w:before="60" w:after="60"/>
              <w:jc w:val="center"/>
              <w:rPr>
                <w:rFonts w:ascii="Arial" w:hAnsi="Arial" w:cs="Arial"/>
              </w:rPr>
            </w:pPr>
            <w:r w:rsidRPr="00C21AF5">
              <w:rPr>
                <w:rFonts w:ascii="Arial" w:hAnsi="Arial" w:cs="Arial"/>
              </w:rPr>
              <w:t>8.6</w:t>
            </w:r>
          </w:p>
        </w:tc>
        <w:tc>
          <w:tcPr>
            <w:tcW w:w="1572" w:type="dxa"/>
          </w:tcPr>
          <w:p w14:paraId="1C36F0C4" w14:textId="77777777" w:rsidR="007E22D5" w:rsidRPr="00C21AF5" w:rsidRDefault="007E22D5" w:rsidP="00350D14">
            <w:pPr>
              <w:spacing w:before="60" w:after="60"/>
              <w:jc w:val="center"/>
              <w:rPr>
                <w:rFonts w:ascii="Arial" w:hAnsi="Arial" w:cs="Arial"/>
              </w:rPr>
            </w:pPr>
            <w:r w:rsidRPr="00C21AF5">
              <w:rPr>
                <w:rFonts w:ascii="Arial" w:hAnsi="Arial" w:cs="Arial"/>
              </w:rPr>
              <w:t>28.3</w:t>
            </w:r>
          </w:p>
        </w:tc>
        <w:tc>
          <w:tcPr>
            <w:tcW w:w="1249" w:type="dxa"/>
          </w:tcPr>
          <w:p w14:paraId="02BF5078" w14:textId="77777777" w:rsidR="007E22D5" w:rsidRPr="00C21AF5" w:rsidRDefault="007E22D5" w:rsidP="00350D14">
            <w:pPr>
              <w:spacing w:before="60" w:after="60"/>
              <w:jc w:val="center"/>
              <w:rPr>
                <w:rFonts w:ascii="Arial" w:hAnsi="Arial" w:cs="Arial"/>
              </w:rPr>
            </w:pPr>
            <w:r w:rsidRPr="00C21AF5">
              <w:rPr>
                <w:rFonts w:ascii="Arial" w:hAnsi="Arial" w:cs="Arial"/>
              </w:rPr>
              <w:t>29.9</w:t>
            </w:r>
          </w:p>
        </w:tc>
      </w:tr>
      <w:tr w:rsidR="00C21AF5" w:rsidRPr="00C21AF5" w14:paraId="238DD0F3" w14:textId="77777777" w:rsidTr="00B43D3E">
        <w:tc>
          <w:tcPr>
            <w:tcW w:w="1695" w:type="dxa"/>
          </w:tcPr>
          <w:p w14:paraId="1AA87961" w14:textId="77777777" w:rsidR="007E22D5" w:rsidRPr="00C21AF5" w:rsidRDefault="007E22D5" w:rsidP="00350D14">
            <w:pPr>
              <w:spacing w:before="60" w:after="60"/>
              <w:rPr>
                <w:rFonts w:ascii="Arial" w:hAnsi="Arial" w:cs="Arial"/>
              </w:rPr>
            </w:pPr>
            <w:r w:rsidRPr="00C21AF5">
              <w:rPr>
                <w:rFonts w:ascii="Arial" w:hAnsi="Arial" w:cs="Arial"/>
              </w:rPr>
              <w:t>Renting</w:t>
            </w:r>
          </w:p>
          <w:p w14:paraId="4C45354E" w14:textId="77777777" w:rsidR="007E22D5" w:rsidRPr="00C21AF5" w:rsidRDefault="007E22D5" w:rsidP="00350D14">
            <w:pPr>
              <w:spacing w:before="60" w:after="60"/>
              <w:rPr>
                <w:rFonts w:ascii="Arial" w:hAnsi="Arial" w:cs="Arial"/>
              </w:rPr>
            </w:pPr>
            <w:r w:rsidRPr="00C21AF5">
              <w:rPr>
                <w:rFonts w:ascii="Arial" w:hAnsi="Arial" w:cs="Arial"/>
              </w:rPr>
              <w:t xml:space="preserve">  Private</w:t>
            </w:r>
          </w:p>
        </w:tc>
        <w:tc>
          <w:tcPr>
            <w:tcW w:w="1087" w:type="dxa"/>
          </w:tcPr>
          <w:p w14:paraId="161ACB75" w14:textId="77777777" w:rsidR="007E22D5" w:rsidRPr="00C21AF5" w:rsidRDefault="007E22D5" w:rsidP="00350D14">
            <w:pPr>
              <w:spacing w:before="60" w:after="60"/>
              <w:jc w:val="center"/>
              <w:rPr>
                <w:rFonts w:ascii="Arial" w:hAnsi="Arial" w:cs="Arial"/>
              </w:rPr>
            </w:pPr>
            <w:r w:rsidRPr="00C21AF5">
              <w:rPr>
                <w:rFonts w:ascii="Arial" w:hAnsi="Arial" w:cs="Arial"/>
              </w:rPr>
              <w:t>16.4</w:t>
            </w:r>
          </w:p>
        </w:tc>
        <w:tc>
          <w:tcPr>
            <w:tcW w:w="1074" w:type="dxa"/>
          </w:tcPr>
          <w:p w14:paraId="1CFC168E" w14:textId="77777777" w:rsidR="007E22D5" w:rsidRPr="00C21AF5" w:rsidRDefault="007E22D5" w:rsidP="00350D14">
            <w:pPr>
              <w:spacing w:before="60" w:after="60"/>
              <w:jc w:val="center"/>
              <w:rPr>
                <w:rFonts w:ascii="Arial" w:hAnsi="Arial" w:cs="Arial"/>
              </w:rPr>
            </w:pPr>
            <w:r w:rsidRPr="00C21AF5">
              <w:rPr>
                <w:rFonts w:ascii="Arial" w:hAnsi="Arial" w:cs="Arial"/>
              </w:rPr>
              <w:t>21.8</w:t>
            </w:r>
          </w:p>
        </w:tc>
        <w:tc>
          <w:tcPr>
            <w:tcW w:w="1353" w:type="dxa"/>
          </w:tcPr>
          <w:p w14:paraId="0DFA1144" w14:textId="77777777" w:rsidR="007E22D5" w:rsidRPr="00C21AF5" w:rsidRDefault="007E22D5" w:rsidP="00350D14">
            <w:pPr>
              <w:spacing w:before="60" w:after="60"/>
              <w:jc w:val="center"/>
              <w:rPr>
                <w:rFonts w:ascii="Arial" w:hAnsi="Arial" w:cs="Arial"/>
              </w:rPr>
            </w:pPr>
            <w:r w:rsidRPr="00C21AF5">
              <w:rPr>
                <w:rFonts w:ascii="Arial" w:hAnsi="Arial" w:cs="Arial"/>
              </w:rPr>
              <w:t>26.8</w:t>
            </w:r>
          </w:p>
        </w:tc>
        <w:tc>
          <w:tcPr>
            <w:tcW w:w="1179" w:type="dxa"/>
          </w:tcPr>
          <w:p w14:paraId="4D7522B6" w14:textId="77777777" w:rsidR="007E22D5" w:rsidRPr="00C21AF5" w:rsidRDefault="007E22D5" w:rsidP="00350D14">
            <w:pPr>
              <w:spacing w:before="60" w:after="60"/>
              <w:jc w:val="center"/>
              <w:rPr>
                <w:rFonts w:ascii="Arial" w:hAnsi="Arial" w:cs="Arial"/>
              </w:rPr>
            </w:pPr>
            <w:r w:rsidRPr="00C21AF5">
              <w:rPr>
                <w:rFonts w:ascii="Arial" w:hAnsi="Arial" w:cs="Arial"/>
              </w:rPr>
              <w:t>19</w:t>
            </w:r>
          </w:p>
        </w:tc>
        <w:tc>
          <w:tcPr>
            <w:tcW w:w="1572" w:type="dxa"/>
          </w:tcPr>
          <w:p w14:paraId="21C1851F" w14:textId="77777777" w:rsidR="007E22D5" w:rsidRPr="00C21AF5" w:rsidRDefault="007E22D5" w:rsidP="00350D14">
            <w:pPr>
              <w:spacing w:before="60" w:after="60"/>
              <w:jc w:val="center"/>
              <w:rPr>
                <w:rFonts w:ascii="Arial" w:hAnsi="Arial" w:cs="Arial"/>
              </w:rPr>
            </w:pPr>
            <w:r w:rsidRPr="00C21AF5">
              <w:rPr>
                <w:rFonts w:ascii="Arial" w:hAnsi="Arial" w:cs="Arial"/>
              </w:rPr>
              <w:t>20.4</w:t>
            </w:r>
          </w:p>
        </w:tc>
        <w:tc>
          <w:tcPr>
            <w:tcW w:w="1249" w:type="dxa"/>
          </w:tcPr>
          <w:p w14:paraId="181CCA69" w14:textId="77777777" w:rsidR="007E22D5" w:rsidRPr="00C21AF5" w:rsidRDefault="007E22D5" w:rsidP="00350D14">
            <w:pPr>
              <w:spacing w:before="60" w:after="60"/>
              <w:jc w:val="center"/>
              <w:rPr>
                <w:rFonts w:ascii="Arial" w:hAnsi="Arial" w:cs="Arial"/>
              </w:rPr>
            </w:pPr>
            <w:r w:rsidRPr="00C21AF5">
              <w:rPr>
                <w:rFonts w:ascii="Arial" w:hAnsi="Arial" w:cs="Arial"/>
              </w:rPr>
              <w:t>27.9</w:t>
            </w:r>
          </w:p>
        </w:tc>
      </w:tr>
      <w:tr w:rsidR="00C21AF5" w:rsidRPr="00C21AF5" w14:paraId="5F2E96CF" w14:textId="77777777" w:rsidTr="00B43D3E">
        <w:tc>
          <w:tcPr>
            <w:tcW w:w="1695" w:type="dxa"/>
            <w:shd w:val="clear" w:color="auto" w:fill="auto"/>
          </w:tcPr>
          <w:p w14:paraId="1295B39A" w14:textId="77777777" w:rsidR="007E22D5" w:rsidRPr="00C21AF5" w:rsidRDefault="007E22D5" w:rsidP="00350D14">
            <w:pPr>
              <w:spacing w:before="60" w:after="60"/>
              <w:rPr>
                <w:rFonts w:ascii="Arial" w:hAnsi="Arial" w:cs="Arial"/>
              </w:rPr>
            </w:pPr>
            <w:r w:rsidRPr="00C21AF5">
              <w:rPr>
                <w:rFonts w:ascii="Arial" w:hAnsi="Arial" w:cs="Arial"/>
              </w:rPr>
              <w:t>Renting</w:t>
            </w:r>
          </w:p>
          <w:p w14:paraId="1417CCB3" w14:textId="77777777" w:rsidR="007E22D5" w:rsidRPr="00C21AF5" w:rsidRDefault="007E22D5" w:rsidP="00350D14">
            <w:pPr>
              <w:spacing w:before="60" w:after="60"/>
              <w:rPr>
                <w:rFonts w:ascii="Arial" w:hAnsi="Arial" w:cs="Arial"/>
              </w:rPr>
            </w:pPr>
            <w:r w:rsidRPr="00C21AF5">
              <w:rPr>
                <w:rFonts w:ascii="Arial" w:hAnsi="Arial" w:cs="Arial"/>
              </w:rPr>
              <w:t xml:space="preserve">  Social</w:t>
            </w:r>
          </w:p>
          <w:p w14:paraId="7014B9E1" w14:textId="77777777" w:rsidR="007E22D5" w:rsidRPr="00C21AF5" w:rsidRDefault="007E22D5" w:rsidP="00350D14">
            <w:pPr>
              <w:spacing w:before="60" w:after="60"/>
              <w:rPr>
                <w:rFonts w:ascii="Arial" w:hAnsi="Arial" w:cs="Arial"/>
              </w:rPr>
            </w:pPr>
            <w:r w:rsidRPr="00C21AF5">
              <w:rPr>
                <w:rFonts w:ascii="Arial" w:hAnsi="Arial" w:cs="Arial"/>
              </w:rPr>
              <w:t xml:space="preserve">  Housing</w:t>
            </w:r>
          </w:p>
        </w:tc>
        <w:tc>
          <w:tcPr>
            <w:tcW w:w="1087" w:type="dxa"/>
            <w:shd w:val="clear" w:color="auto" w:fill="auto"/>
          </w:tcPr>
          <w:p w14:paraId="662BD82F" w14:textId="77777777" w:rsidR="007E22D5" w:rsidRPr="00C21AF5" w:rsidRDefault="007E22D5" w:rsidP="00350D14">
            <w:pPr>
              <w:spacing w:before="60" w:after="60"/>
              <w:jc w:val="center"/>
              <w:rPr>
                <w:rFonts w:ascii="Arial" w:hAnsi="Arial" w:cs="Arial"/>
              </w:rPr>
            </w:pPr>
            <w:r w:rsidRPr="00C21AF5">
              <w:rPr>
                <w:rFonts w:ascii="Arial" w:hAnsi="Arial" w:cs="Arial"/>
              </w:rPr>
              <w:t>4.3</w:t>
            </w:r>
          </w:p>
        </w:tc>
        <w:tc>
          <w:tcPr>
            <w:tcW w:w="1074" w:type="dxa"/>
            <w:shd w:val="clear" w:color="auto" w:fill="auto"/>
          </w:tcPr>
          <w:p w14:paraId="3B116F32" w14:textId="77777777" w:rsidR="007E22D5" w:rsidRPr="00C21AF5" w:rsidRDefault="007E22D5" w:rsidP="00350D14">
            <w:pPr>
              <w:spacing w:before="60" w:after="60"/>
              <w:jc w:val="center"/>
              <w:rPr>
                <w:rFonts w:ascii="Arial" w:hAnsi="Arial" w:cs="Arial"/>
              </w:rPr>
            </w:pPr>
            <w:r w:rsidRPr="00C21AF5">
              <w:rPr>
                <w:rFonts w:ascii="Arial" w:hAnsi="Arial" w:cs="Arial"/>
              </w:rPr>
              <w:t>6.5</w:t>
            </w:r>
          </w:p>
        </w:tc>
        <w:tc>
          <w:tcPr>
            <w:tcW w:w="1353" w:type="dxa"/>
            <w:shd w:val="clear" w:color="auto" w:fill="auto"/>
          </w:tcPr>
          <w:p w14:paraId="26E3AF20" w14:textId="77777777" w:rsidR="007E22D5" w:rsidRPr="00C21AF5" w:rsidRDefault="007E22D5" w:rsidP="00350D14">
            <w:pPr>
              <w:spacing w:before="60" w:after="60"/>
              <w:jc w:val="center"/>
              <w:rPr>
                <w:rFonts w:ascii="Arial" w:hAnsi="Arial" w:cs="Arial"/>
              </w:rPr>
            </w:pPr>
            <w:r w:rsidRPr="00C21AF5">
              <w:rPr>
                <w:rFonts w:ascii="Arial" w:hAnsi="Arial" w:cs="Arial"/>
              </w:rPr>
              <w:t xml:space="preserve"> 0</w:t>
            </w:r>
          </w:p>
        </w:tc>
        <w:tc>
          <w:tcPr>
            <w:tcW w:w="1179" w:type="dxa"/>
            <w:shd w:val="clear" w:color="auto" w:fill="auto"/>
          </w:tcPr>
          <w:p w14:paraId="07C22FED" w14:textId="77777777" w:rsidR="007E22D5" w:rsidRPr="00C21AF5" w:rsidRDefault="007E22D5" w:rsidP="00350D14">
            <w:pPr>
              <w:spacing w:before="60" w:after="60"/>
              <w:jc w:val="center"/>
              <w:rPr>
                <w:rFonts w:ascii="Arial" w:hAnsi="Arial" w:cs="Arial"/>
              </w:rPr>
            </w:pPr>
            <w:r w:rsidRPr="00C21AF5">
              <w:rPr>
                <w:rFonts w:ascii="Arial" w:hAnsi="Arial" w:cs="Arial"/>
              </w:rPr>
              <w:t>0</w:t>
            </w:r>
          </w:p>
        </w:tc>
        <w:tc>
          <w:tcPr>
            <w:tcW w:w="1572" w:type="dxa"/>
            <w:shd w:val="clear" w:color="auto" w:fill="auto"/>
          </w:tcPr>
          <w:p w14:paraId="3FB54DA5" w14:textId="77777777" w:rsidR="007E22D5" w:rsidRPr="00C21AF5" w:rsidRDefault="007E22D5" w:rsidP="00350D14">
            <w:pPr>
              <w:spacing w:before="60" w:after="60"/>
              <w:jc w:val="center"/>
              <w:rPr>
                <w:rFonts w:ascii="Arial" w:hAnsi="Arial" w:cs="Arial"/>
              </w:rPr>
            </w:pPr>
            <w:r w:rsidRPr="00C21AF5">
              <w:rPr>
                <w:rFonts w:ascii="Arial" w:hAnsi="Arial" w:cs="Arial"/>
              </w:rPr>
              <w:t>4.4</w:t>
            </w:r>
          </w:p>
        </w:tc>
        <w:tc>
          <w:tcPr>
            <w:tcW w:w="1249" w:type="dxa"/>
            <w:shd w:val="clear" w:color="auto" w:fill="auto"/>
          </w:tcPr>
          <w:p w14:paraId="297095C6" w14:textId="77777777" w:rsidR="007E22D5" w:rsidRPr="00C21AF5" w:rsidRDefault="007E22D5" w:rsidP="00350D14">
            <w:pPr>
              <w:spacing w:before="60" w:after="60"/>
              <w:jc w:val="center"/>
              <w:rPr>
                <w:rFonts w:ascii="Arial" w:hAnsi="Arial" w:cs="Arial"/>
              </w:rPr>
            </w:pPr>
            <w:r w:rsidRPr="00C21AF5">
              <w:rPr>
                <w:rFonts w:ascii="Arial" w:hAnsi="Arial" w:cs="Arial"/>
              </w:rPr>
              <w:t>8.89</w:t>
            </w:r>
          </w:p>
        </w:tc>
      </w:tr>
      <w:tr w:rsidR="00C21AF5" w:rsidRPr="00C21AF5" w14:paraId="3749AB62" w14:textId="77777777" w:rsidTr="00B43D3E">
        <w:tc>
          <w:tcPr>
            <w:tcW w:w="1695" w:type="dxa"/>
          </w:tcPr>
          <w:p w14:paraId="195C60CA" w14:textId="77777777" w:rsidR="007E22D5" w:rsidRPr="00C21AF5" w:rsidRDefault="007E22D5" w:rsidP="00350D14">
            <w:pPr>
              <w:spacing w:before="60" w:after="60"/>
              <w:rPr>
                <w:rFonts w:ascii="Arial" w:hAnsi="Arial" w:cs="Arial"/>
              </w:rPr>
            </w:pPr>
            <w:r w:rsidRPr="00C21AF5">
              <w:rPr>
                <w:rFonts w:ascii="Arial" w:hAnsi="Arial" w:cs="Arial"/>
              </w:rPr>
              <w:t>Other Tenure Type</w:t>
            </w:r>
          </w:p>
        </w:tc>
        <w:tc>
          <w:tcPr>
            <w:tcW w:w="1087" w:type="dxa"/>
          </w:tcPr>
          <w:p w14:paraId="07F9D3D8" w14:textId="77777777" w:rsidR="007E22D5" w:rsidRPr="00C21AF5" w:rsidRDefault="007E22D5" w:rsidP="00350D14">
            <w:pPr>
              <w:spacing w:before="60" w:after="60"/>
              <w:jc w:val="center"/>
              <w:rPr>
                <w:rFonts w:ascii="Arial" w:hAnsi="Arial" w:cs="Arial"/>
              </w:rPr>
            </w:pPr>
            <w:r w:rsidRPr="00C21AF5">
              <w:rPr>
                <w:rFonts w:ascii="Arial" w:hAnsi="Arial" w:cs="Arial"/>
              </w:rPr>
              <w:t>2.8</w:t>
            </w:r>
          </w:p>
        </w:tc>
        <w:tc>
          <w:tcPr>
            <w:tcW w:w="1074" w:type="dxa"/>
          </w:tcPr>
          <w:p w14:paraId="1640AA43" w14:textId="77777777" w:rsidR="007E22D5" w:rsidRPr="00C21AF5" w:rsidRDefault="007E22D5" w:rsidP="00350D14">
            <w:pPr>
              <w:spacing w:before="60" w:after="60"/>
              <w:jc w:val="center"/>
              <w:rPr>
                <w:rFonts w:ascii="Arial" w:hAnsi="Arial" w:cs="Arial"/>
              </w:rPr>
            </w:pPr>
            <w:r w:rsidRPr="00C21AF5">
              <w:rPr>
                <w:rFonts w:ascii="Arial" w:hAnsi="Arial" w:cs="Arial"/>
              </w:rPr>
              <w:t>1.0</w:t>
            </w:r>
          </w:p>
        </w:tc>
        <w:tc>
          <w:tcPr>
            <w:tcW w:w="1353" w:type="dxa"/>
          </w:tcPr>
          <w:p w14:paraId="49D086EF" w14:textId="77777777" w:rsidR="007E22D5" w:rsidRPr="00C21AF5" w:rsidRDefault="007E22D5" w:rsidP="00350D14">
            <w:pPr>
              <w:spacing w:before="60" w:after="60"/>
              <w:jc w:val="center"/>
              <w:rPr>
                <w:rFonts w:ascii="Arial" w:hAnsi="Arial" w:cs="Arial"/>
              </w:rPr>
            </w:pPr>
            <w:r w:rsidRPr="00C21AF5">
              <w:rPr>
                <w:rFonts w:ascii="Arial" w:hAnsi="Arial" w:cs="Arial"/>
              </w:rPr>
              <w:t>5.2</w:t>
            </w:r>
          </w:p>
        </w:tc>
        <w:tc>
          <w:tcPr>
            <w:tcW w:w="1179" w:type="dxa"/>
          </w:tcPr>
          <w:p w14:paraId="5FD55A4F" w14:textId="77777777" w:rsidR="007E22D5" w:rsidRPr="00C21AF5" w:rsidRDefault="007E22D5" w:rsidP="00350D14">
            <w:pPr>
              <w:spacing w:before="60" w:after="60"/>
              <w:jc w:val="center"/>
              <w:rPr>
                <w:rFonts w:ascii="Arial" w:hAnsi="Arial" w:cs="Arial"/>
              </w:rPr>
            </w:pPr>
            <w:r w:rsidRPr="00C21AF5">
              <w:rPr>
                <w:rFonts w:ascii="Arial" w:hAnsi="Arial" w:cs="Arial"/>
              </w:rPr>
              <w:t>3.8</w:t>
            </w:r>
          </w:p>
        </w:tc>
        <w:tc>
          <w:tcPr>
            <w:tcW w:w="1572" w:type="dxa"/>
          </w:tcPr>
          <w:p w14:paraId="16F68096" w14:textId="77777777" w:rsidR="007E22D5" w:rsidRPr="00C21AF5" w:rsidRDefault="007E22D5" w:rsidP="00350D14">
            <w:pPr>
              <w:spacing w:before="60" w:after="60"/>
              <w:jc w:val="center"/>
              <w:rPr>
                <w:rFonts w:ascii="Arial" w:hAnsi="Arial" w:cs="Arial"/>
              </w:rPr>
            </w:pPr>
            <w:r w:rsidRPr="00C21AF5">
              <w:rPr>
                <w:rFonts w:ascii="Arial" w:hAnsi="Arial" w:cs="Arial"/>
              </w:rPr>
              <w:t>3.2</w:t>
            </w:r>
          </w:p>
        </w:tc>
        <w:tc>
          <w:tcPr>
            <w:tcW w:w="1249" w:type="dxa"/>
          </w:tcPr>
          <w:p w14:paraId="09AFC5F3" w14:textId="77777777" w:rsidR="007E22D5" w:rsidRPr="00C21AF5" w:rsidRDefault="007E22D5" w:rsidP="00350D14">
            <w:pPr>
              <w:spacing w:before="60" w:after="60"/>
              <w:jc w:val="center"/>
              <w:rPr>
                <w:rFonts w:ascii="Arial" w:hAnsi="Arial" w:cs="Arial"/>
              </w:rPr>
            </w:pPr>
            <w:r w:rsidRPr="00C21AF5">
              <w:rPr>
                <w:rFonts w:ascii="Arial" w:hAnsi="Arial" w:cs="Arial"/>
              </w:rPr>
              <w:t>1.7</w:t>
            </w:r>
          </w:p>
        </w:tc>
      </w:tr>
      <w:tr w:rsidR="00C21AF5" w:rsidRPr="00C21AF5" w14:paraId="3D31BF4F" w14:textId="77777777" w:rsidTr="00B43D3E">
        <w:tc>
          <w:tcPr>
            <w:tcW w:w="1695" w:type="dxa"/>
          </w:tcPr>
          <w:p w14:paraId="2040999B" w14:textId="77777777" w:rsidR="007E22D5" w:rsidRPr="00C21AF5" w:rsidRDefault="007E22D5" w:rsidP="00350D14">
            <w:pPr>
              <w:spacing w:before="60" w:after="60"/>
              <w:rPr>
                <w:rFonts w:ascii="Arial" w:hAnsi="Arial" w:cs="Arial"/>
              </w:rPr>
            </w:pPr>
            <w:r w:rsidRPr="00C21AF5">
              <w:rPr>
                <w:rFonts w:ascii="Arial" w:hAnsi="Arial" w:cs="Arial"/>
              </w:rPr>
              <w:t>Not Stated</w:t>
            </w:r>
          </w:p>
        </w:tc>
        <w:tc>
          <w:tcPr>
            <w:tcW w:w="1087" w:type="dxa"/>
          </w:tcPr>
          <w:p w14:paraId="6951A254" w14:textId="77777777" w:rsidR="007E22D5" w:rsidRPr="00C21AF5" w:rsidRDefault="007E22D5" w:rsidP="00350D14">
            <w:pPr>
              <w:spacing w:before="60" w:after="60"/>
              <w:jc w:val="center"/>
              <w:rPr>
                <w:rFonts w:ascii="Arial" w:hAnsi="Arial" w:cs="Arial"/>
              </w:rPr>
            </w:pPr>
            <w:r w:rsidRPr="00C21AF5">
              <w:rPr>
                <w:rFonts w:ascii="Arial" w:hAnsi="Arial" w:cs="Arial"/>
              </w:rPr>
              <w:t>2.8</w:t>
            </w:r>
          </w:p>
        </w:tc>
        <w:tc>
          <w:tcPr>
            <w:tcW w:w="1074" w:type="dxa"/>
          </w:tcPr>
          <w:p w14:paraId="7BCD543E" w14:textId="77777777" w:rsidR="007E22D5" w:rsidRPr="00C21AF5" w:rsidRDefault="007E22D5" w:rsidP="00350D14">
            <w:pPr>
              <w:spacing w:before="60" w:after="60"/>
              <w:jc w:val="center"/>
              <w:rPr>
                <w:rFonts w:ascii="Arial" w:hAnsi="Arial" w:cs="Arial"/>
              </w:rPr>
            </w:pPr>
            <w:r w:rsidRPr="00C21AF5">
              <w:rPr>
                <w:rFonts w:ascii="Arial" w:hAnsi="Arial" w:cs="Arial"/>
              </w:rPr>
              <w:t>1.4</w:t>
            </w:r>
          </w:p>
        </w:tc>
        <w:tc>
          <w:tcPr>
            <w:tcW w:w="1353" w:type="dxa"/>
          </w:tcPr>
          <w:p w14:paraId="0F25C5AA" w14:textId="77777777" w:rsidR="007E22D5" w:rsidRPr="00C21AF5" w:rsidRDefault="007E22D5" w:rsidP="00350D14">
            <w:pPr>
              <w:spacing w:before="60" w:after="60"/>
              <w:jc w:val="center"/>
              <w:rPr>
                <w:rFonts w:ascii="Arial" w:hAnsi="Arial" w:cs="Arial"/>
              </w:rPr>
            </w:pPr>
            <w:r w:rsidRPr="00C21AF5">
              <w:rPr>
                <w:rFonts w:ascii="Arial" w:hAnsi="Arial" w:cs="Arial"/>
              </w:rPr>
              <w:t>0</w:t>
            </w:r>
          </w:p>
        </w:tc>
        <w:tc>
          <w:tcPr>
            <w:tcW w:w="1179" w:type="dxa"/>
          </w:tcPr>
          <w:p w14:paraId="371CB70B" w14:textId="77777777" w:rsidR="007E22D5" w:rsidRPr="00C21AF5" w:rsidRDefault="007E22D5" w:rsidP="00350D14">
            <w:pPr>
              <w:spacing w:before="60" w:after="60"/>
              <w:jc w:val="center"/>
              <w:rPr>
                <w:rFonts w:ascii="Arial" w:hAnsi="Arial" w:cs="Arial"/>
              </w:rPr>
            </w:pPr>
            <w:r w:rsidRPr="00C21AF5">
              <w:rPr>
                <w:rFonts w:ascii="Arial" w:hAnsi="Arial" w:cs="Arial"/>
              </w:rPr>
              <w:t>1.8</w:t>
            </w:r>
          </w:p>
        </w:tc>
        <w:tc>
          <w:tcPr>
            <w:tcW w:w="1572" w:type="dxa"/>
          </w:tcPr>
          <w:p w14:paraId="63A6E1E2" w14:textId="77777777" w:rsidR="007E22D5" w:rsidRPr="00C21AF5" w:rsidRDefault="007E22D5" w:rsidP="00350D14">
            <w:pPr>
              <w:spacing w:before="60" w:after="60"/>
              <w:jc w:val="center"/>
              <w:rPr>
                <w:rFonts w:ascii="Arial" w:hAnsi="Arial" w:cs="Arial"/>
              </w:rPr>
            </w:pPr>
            <w:r w:rsidRPr="00C21AF5">
              <w:rPr>
                <w:rFonts w:ascii="Arial" w:hAnsi="Arial" w:cs="Arial"/>
              </w:rPr>
              <w:t>4.3</w:t>
            </w:r>
          </w:p>
        </w:tc>
        <w:tc>
          <w:tcPr>
            <w:tcW w:w="1249" w:type="dxa"/>
          </w:tcPr>
          <w:p w14:paraId="1434807C" w14:textId="77777777" w:rsidR="007E22D5" w:rsidRPr="00C21AF5" w:rsidRDefault="007E22D5" w:rsidP="00350D14">
            <w:pPr>
              <w:spacing w:before="60" w:after="60"/>
              <w:jc w:val="center"/>
              <w:rPr>
                <w:rFonts w:ascii="Arial" w:hAnsi="Arial" w:cs="Arial"/>
              </w:rPr>
            </w:pPr>
            <w:r w:rsidRPr="00C21AF5">
              <w:rPr>
                <w:rFonts w:ascii="Arial" w:hAnsi="Arial" w:cs="Arial"/>
              </w:rPr>
              <w:t>1.5</w:t>
            </w:r>
          </w:p>
        </w:tc>
      </w:tr>
    </w:tbl>
    <w:p w14:paraId="3884FE42" w14:textId="3B8AF3CC" w:rsidR="007E22D5" w:rsidRPr="00C21AF5" w:rsidRDefault="007E22D5" w:rsidP="007E22D5">
      <w:pPr>
        <w:rPr>
          <w:rFonts w:ascii="Arial" w:hAnsi="Arial" w:cs="Arial"/>
          <w:i/>
          <w:iCs/>
        </w:rPr>
      </w:pPr>
      <w:r w:rsidRPr="00C21AF5">
        <w:rPr>
          <w:rFonts w:ascii="Arial" w:hAnsi="Arial" w:cs="Arial"/>
          <w:i/>
          <w:iCs/>
        </w:rPr>
        <w:t>Source:  Census Data</w:t>
      </w:r>
      <w:r w:rsidR="004D49A7">
        <w:rPr>
          <w:rFonts w:ascii="Arial" w:hAnsi="Arial" w:cs="Arial"/>
          <w:i/>
          <w:iCs/>
        </w:rPr>
        <w:t xml:space="preserve"> </w:t>
      </w:r>
      <w:r w:rsidR="000765B1">
        <w:rPr>
          <w:rFonts w:ascii="Arial" w:hAnsi="Arial" w:cs="Arial"/>
          <w:i/>
          <w:iCs/>
        </w:rPr>
        <w:t>2021</w:t>
      </w:r>
    </w:p>
    <w:p w14:paraId="4C2F014B" w14:textId="57E6FD8B" w:rsidR="003308D1" w:rsidRPr="001F4A89" w:rsidRDefault="008F392B" w:rsidP="00C500E6">
      <w:pPr>
        <w:jc w:val="both"/>
        <w:rPr>
          <w:rFonts w:ascii="Arial" w:hAnsi="Arial" w:cs="Arial"/>
        </w:rPr>
      </w:pPr>
      <w:r w:rsidRPr="001F4A89">
        <w:rPr>
          <w:rFonts w:ascii="Arial" w:hAnsi="Arial" w:cs="Arial"/>
        </w:rPr>
        <w:t>A review of</w:t>
      </w:r>
      <w:r w:rsidR="003308D1" w:rsidRPr="001F4A89">
        <w:rPr>
          <w:rFonts w:ascii="Arial" w:hAnsi="Arial" w:cs="Arial"/>
        </w:rPr>
        <w:t xml:space="preserve"> the housing tenure of households within </w:t>
      </w:r>
      <w:r w:rsidR="001012FC" w:rsidRPr="001F4A89">
        <w:rPr>
          <w:rFonts w:ascii="Arial" w:hAnsi="Arial" w:cs="Arial"/>
        </w:rPr>
        <w:t>the area</w:t>
      </w:r>
      <w:r w:rsidR="003308D1" w:rsidRPr="001F4A89">
        <w:rPr>
          <w:rFonts w:ascii="Arial" w:hAnsi="Arial" w:cs="Arial"/>
        </w:rPr>
        <w:t xml:space="preserve"> in 2021, compared to Regional NSW</w:t>
      </w:r>
      <w:r w:rsidR="004D49A7" w:rsidRPr="001F4A89">
        <w:rPr>
          <w:rFonts w:ascii="Arial" w:hAnsi="Arial" w:cs="Arial"/>
        </w:rPr>
        <w:t>,</w:t>
      </w:r>
      <w:r w:rsidR="003308D1" w:rsidRPr="001F4A89">
        <w:rPr>
          <w:rFonts w:ascii="Arial" w:hAnsi="Arial" w:cs="Arial"/>
        </w:rPr>
        <w:t xml:space="preserve"> shows that there was a larger proportion of households who own their dwelling; a smaller proportion purchasing their dwelling; and a small proportion who were renters.</w:t>
      </w:r>
    </w:p>
    <w:p w14:paraId="721D6595" w14:textId="762FA8D9" w:rsidR="003308D1" w:rsidRPr="001F4A89" w:rsidRDefault="003308D1" w:rsidP="00C500E6">
      <w:pPr>
        <w:jc w:val="both"/>
        <w:rPr>
          <w:rFonts w:ascii="Arial" w:hAnsi="Arial" w:cs="Arial"/>
        </w:rPr>
      </w:pPr>
      <w:r w:rsidRPr="001F4A89">
        <w:rPr>
          <w:rFonts w:ascii="Arial" w:hAnsi="Arial" w:cs="Arial"/>
        </w:rPr>
        <w:t>Overall</w:t>
      </w:r>
      <w:r w:rsidR="004D49A7" w:rsidRPr="001F4A89">
        <w:rPr>
          <w:rFonts w:ascii="Arial" w:hAnsi="Arial" w:cs="Arial"/>
        </w:rPr>
        <w:t>,</w:t>
      </w:r>
      <w:r w:rsidRPr="001F4A89">
        <w:rPr>
          <w:rFonts w:ascii="Arial" w:hAnsi="Arial" w:cs="Arial"/>
        </w:rPr>
        <w:t xml:space="preserve"> 40.1% of households owned their </w:t>
      </w:r>
      <w:r w:rsidR="0085425D" w:rsidRPr="001F4A89">
        <w:rPr>
          <w:rFonts w:ascii="Arial" w:hAnsi="Arial" w:cs="Arial"/>
        </w:rPr>
        <w:t>d</w:t>
      </w:r>
      <w:r w:rsidRPr="001F4A89">
        <w:rPr>
          <w:rFonts w:ascii="Arial" w:hAnsi="Arial" w:cs="Arial"/>
        </w:rPr>
        <w:t>welling; 25.9% were purchasing</w:t>
      </w:r>
      <w:r w:rsidR="004D49A7" w:rsidRPr="001F4A89">
        <w:rPr>
          <w:rFonts w:ascii="Arial" w:hAnsi="Arial" w:cs="Arial"/>
        </w:rPr>
        <w:t xml:space="preserve"> (currently mortgaged)</w:t>
      </w:r>
      <w:r w:rsidRPr="001F4A89">
        <w:rPr>
          <w:rFonts w:ascii="Arial" w:hAnsi="Arial" w:cs="Arial"/>
        </w:rPr>
        <w:t xml:space="preserve"> and 23.5% were renting, compared with 36.3%, 29.4% and 25.7%</w:t>
      </w:r>
      <w:r w:rsidR="004D49A7" w:rsidRPr="001F4A89">
        <w:rPr>
          <w:rFonts w:ascii="Arial" w:hAnsi="Arial" w:cs="Arial"/>
        </w:rPr>
        <w:t>,</w:t>
      </w:r>
      <w:r w:rsidRPr="001F4A89">
        <w:rPr>
          <w:rFonts w:ascii="Arial" w:hAnsi="Arial" w:cs="Arial"/>
        </w:rPr>
        <w:t xml:space="preserve"> respectively</w:t>
      </w:r>
      <w:r w:rsidR="004D49A7" w:rsidRPr="001F4A89">
        <w:rPr>
          <w:rFonts w:ascii="Arial" w:hAnsi="Arial" w:cs="Arial"/>
        </w:rPr>
        <w:t>,</w:t>
      </w:r>
      <w:r w:rsidRPr="001F4A89">
        <w:rPr>
          <w:rFonts w:ascii="Arial" w:hAnsi="Arial" w:cs="Arial"/>
        </w:rPr>
        <w:t xml:space="preserve"> within Regional NSW.</w:t>
      </w:r>
    </w:p>
    <w:p w14:paraId="559F2C41" w14:textId="4AAADDBC" w:rsidR="003308D1" w:rsidRPr="001F4A89" w:rsidRDefault="003308D1" w:rsidP="00C500E6">
      <w:pPr>
        <w:jc w:val="both"/>
        <w:rPr>
          <w:rFonts w:ascii="Arial" w:hAnsi="Arial" w:cs="Arial"/>
        </w:rPr>
      </w:pPr>
      <w:r w:rsidRPr="001F4A89">
        <w:rPr>
          <w:rFonts w:ascii="Arial" w:hAnsi="Arial" w:cs="Arial"/>
        </w:rPr>
        <w:t xml:space="preserve">The largest change in the housing tenure for households within </w:t>
      </w:r>
      <w:r w:rsidR="001012FC" w:rsidRPr="001F4A89">
        <w:rPr>
          <w:rFonts w:ascii="Arial" w:hAnsi="Arial" w:cs="Arial"/>
        </w:rPr>
        <w:t xml:space="preserve">the area </w:t>
      </w:r>
      <w:r w:rsidRPr="001F4A89">
        <w:rPr>
          <w:rFonts w:ascii="Arial" w:hAnsi="Arial" w:cs="Arial"/>
        </w:rPr>
        <w:t>were that fully owned households increased by 186 and private rentals increased by 166 households.</w:t>
      </w:r>
    </w:p>
    <w:p w14:paraId="5507602E" w14:textId="2F676375" w:rsidR="008812E7" w:rsidRPr="001F4A89" w:rsidRDefault="003308D1" w:rsidP="001012FC">
      <w:pPr>
        <w:jc w:val="both"/>
        <w:rPr>
          <w:rFonts w:ascii="Arial" w:hAnsi="Arial" w:cs="Arial"/>
        </w:rPr>
      </w:pPr>
      <w:r w:rsidRPr="001F4A89">
        <w:rPr>
          <w:rFonts w:ascii="Arial" w:hAnsi="Arial" w:cs="Arial"/>
        </w:rPr>
        <w:t xml:space="preserve">A high concentration of private renters may indicate a transient area attractive to young singles and couples whilst an increase in home ownership indicates a more settled area with mature families and </w:t>
      </w:r>
      <w:proofErr w:type="gramStart"/>
      <w:r w:rsidRPr="001F4A89">
        <w:rPr>
          <w:rFonts w:ascii="Arial" w:hAnsi="Arial" w:cs="Arial"/>
        </w:rPr>
        <w:t>empty-nesters</w:t>
      </w:r>
      <w:proofErr w:type="gramEnd"/>
      <w:r w:rsidRPr="001F4A89">
        <w:rPr>
          <w:rFonts w:ascii="Arial" w:hAnsi="Arial" w:cs="Arial"/>
        </w:rPr>
        <w:t>.</w:t>
      </w:r>
    </w:p>
    <w:p w14:paraId="5146CF1E" w14:textId="08AA48E0" w:rsidR="00D4343D" w:rsidRPr="001F4A89" w:rsidRDefault="00C21AF5" w:rsidP="00DD7FB2">
      <w:pPr>
        <w:pStyle w:val="Heading1"/>
        <w:rPr>
          <w:rFonts w:ascii="Arial" w:hAnsi="Arial" w:cs="Arial"/>
          <w:b/>
          <w:bCs/>
          <w:sz w:val="22"/>
          <w:szCs w:val="22"/>
        </w:rPr>
      </w:pPr>
      <w:bookmarkStart w:id="11" w:name="_Toc156305596"/>
      <w:r w:rsidRPr="001F4A89">
        <w:rPr>
          <w:rFonts w:ascii="Arial" w:hAnsi="Arial" w:cs="Arial"/>
          <w:b/>
          <w:bCs/>
          <w:sz w:val="22"/>
          <w:szCs w:val="22"/>
        </w:rPr>
        <w:t xml:space="preserve">Equivalised </w:t>
      </w:r>
      <w:r w:rsidR="00B9576B" w:rsidRPr="001F4A89">
        <w:rPr>
          <w:rFonts w:ascii="Arial" w:hAnsi="Arial" w:cs="Arial"/>
          <w:b/>
          <w:bCs/>
          <w:sz w:val="22"/>
          <w:szCs w:val="22"/>
        </w:rPr>
        <w:t>Household Income</w:t>
      </w:r>
      <w:bookmarkEnd w:id="11"/>
    </w:p>
    <w:p w14:paraId="4279664F" w14:textId="77777777" w:rsidR="00C21AF5" w:rsidRPr="001F4A89" w:rsidRDefault="00C21AF5" w:rsidP="003D6CFD">
      <w:pPr>
        <w:jc w:val="both"/>
        <w:rPr>
          <w:rFonts w:ascii="Arial" w:eastAsia="Times New Roman" w:hAnsi="Arial" w:cs="Arial"/>
          <w:kern w:val="0"/>
          <w:szCs w:val="24"/>
          <w:lang w:val="x-none"/>
        </w:rPr>
      </w:pPr>
      <w:r w:rsidRPr="001F4A89">
        <w:rPr>
          <w:rFonts w:ascii="Arial" w:eastAsia="Times New Roman" w:hAnsi="Arial" w:cs="Arial"/>
          <w:kern w:val="0"/>
          <w:szCs w:val="24"/>
          <w:lang w:val="x-none"/>
        </w:rPr>
        <w:t xml:space="preserve">Equivalised household income can be viewed as an indicator of the economic resources available to a standardised household. It is calculated by dividing total household income by an equivalence factor. </w:t>
      </w:r>
    </w:p>
    <w:p w14:paraId="0C1A57DD" w14:textId="427FF8D2" w:rsidR="00352FE7" w:rsidRPr="00C21AF5" w:rsidRDefault="008F392B" w:rsidP="003D6CFD">
      <w:pPr>
        <w:jc w:val="both"/>
        <w:rPr>
          <w:rFonts w:ascii="Arial" w:hAnsi="Arial" w:cs="Arial"/>
        </w:rPr>
      </w:pPr>
      <w:r w:rsidRPr="00C21AF5">
        <w:rPr>
          <w:rFonts w:ascii="Arial" w:hAnsi="Arial" w:cs="Arial"/>
        </w:rPr>
        <w:t>The table below provides a regional comparison of equivalised household income.</w:t>
      </w:r>
    </w:p>
    <w:p w14:paraId="0EC258A1" w14:textId="42C04BF1" w:rsidR="008F392B" w:rsidRPr="00C21AF5" w:rsidRDefault="008F392B" w:rsidP="00C21AF5">
      <w:pPr>
        <w:jc w:val="both"/>
        <w:rPr>
          <w:rFonts w:ascii="Arial" w:hAnsi="Arial" w:cs="Arial"/>
        </w:rPr>
      </w:pPr>
      <w:r w:rsidRPr="00C21AF5">
        <w:rPr>
          <w:rFonts w:ascii="Arial" w:hAnsi="Arial" w:cs="Arial"/>
        </w:rPr>
        <w:t xml:space="preserve">With the assumption that all households were the ‘same size’, then the lowest quartile is the largest income group within </w:t>
      </w:r>
      <w:r w:rsidR="001012FC">
        <w:rPr>
          <w:rFonts w:ascii="Arial" w:hAnsi="Arial" w:cs="Arial"/>
        </w:rPr>
        <w:t>the</w:t>
      </w:r>
      <w:r w:rsidRPr="00C21AF5">
        <w:rPr>
          <w:rFonts w:ascii="Arial" w:hAnsi="Arial" w:cs="Arial"/>
        </w:rPr>
        <w:t xml:space="preserve"> LGA.</w:t>
      </w:r>
    </w:p>
    <w:tbl>
      <w:tblPr>
        <w:tblStyle w:val="TableGrid"/>
        <w:tblW w:w="0" w:type="auto"/>
        <w:tblLook w:val="04A0" w:firstRow="1" w:lastRow="0" w:firstColumn="1" w:lastColumn="0" w:noHBand="0" w:noVBand="1"/>
      </w:tblPr>
      <w:tblGrid>
        <w:gridCol w:w="1980"/>
        <w:gridCol w:w="2126"/>
        <w:gridCol w:w="1843"/>
        <w:gridCol w:w="1559"/>
        <w:gridCol w:w="1508"/>
      </w:tblGrid>
      <w:tr w:rsidR="00C21AF5" w:rsidRPr="00C21AF5" w14:paraId="66C56C67" w14:textId="77777777" w:rsidTr="000F3D85">
        <w:tc>
          <w:tcPr>
            <w:tcW w:w="1980" w:type="dxa"/>
            <w:shd w:val="clear" w:color="auto" w:fill="002060"/>
          </w:tcPr>
          <w:p w14:paraId="0D0DFE81" w14:textId="3266AC14" w:rsidR="00586D9B" w:rsidRPr="00C21AF5" w:rsidRDefault="00586D9B" w:rsidP="000B0C6F">
            <w:pPr>
              <w:spacing w:before="60" w:after="60"/>
              <w:jc w:val="center"/>
              <w:rPr>
                <w:rFonts w:ascii="Arial" w:hAnsi="Arial" w:cs="Arial"/>
                <w:b/>
                <w:bCs/>
              </w:rPr>
            </w:pPr>
            <w:r w:rsidRPr="00C21AF5">
              <w:rPr>
                <w:rFonts w:ascii="Arial" w:hAnsi="Arial" w:cs="Arial"/>
                <w:b/>
                <w:bCs/>
              </w:rPr>
              <w:t>Area</w:t>
            </w:r>
          </w:p>
        </w:tc>
        <w:tc>
          <w:tcPr>
            <w:tcW w:w="2126" w:type="dxa"/>
            <w:shd w:val="clear" w:color="auto" w:fill="002060"/>
          </w:tcPr>
          <w:p w14:paraId="6CE95C03" w14:textId="44C3DE5A" w:rsidR="00586D9B" w:rsidRPr="00C21AF5" w:rsidRDefault="000E3A77" w:rsidP="000B0C6F">
            <w:pPr>
              <w:spacing w:before="60" w:after="60"/>
              <w:jc w:val="center"/>
              <w:rPr>
                <w:rFonts w:ascii="Arial" w:hAnsi="Arial" w:cs="Arial"/>
                <w:b/>
                <w:bCs/>
              </w:rPr>
            </w:pPr>
            <w:r>
              <w:rPr>
                <w:rFonts w:ascii="Arial" w:hAnsi="Arial" w:cs="Arial"/>
                <w:b/>
                <w:bCs/>
              </w:rPr>
              <w:t>SVC</w:t>
            </w:r>
          </w:p>
        </w:tc>
        <w:tc>
          <w:tcPr>
            <w:tcW w:w="1843" w:type="dxa"/>
            <w:shd w:val="clear" w:color="auto" w:fill="002060"/>
          </w:tcPr>
          <w:p w14:paraId="4F7BC9AD" w14:textId="00E2E5F3" w:rsidR="00586D9B" w:rsidRPr="00C21AF5" w:rsidRDefault="00586D9B" w:rsidP="000B0C6F">
            <w:pPr>
              <w:spacing w:before="60" w:after="60"/>
              <w:jc w:val="center"/>
              <w:rPr>
                <w:rFonts w:ascii="Arial" w:hAnsi="Arial" w:cs="Arial"/>
                <w:b/>
                <w:bCs/>
              </w:rPr>
            </w:pPr>
            <w:r w:rsidRPr="00C21AF5">
              <w:rPr>
                <w:rFonts w:ascii="Arial" w:hAnsi="Arial" w:cs="Arial"/>
                <w:b/>
                <w:bCs/>
              </w:rPr>
              <w:t>Canberra Region</w:t>
            </w:r>
          </w:p>
        </w:tc>
        <w:tc>
          <w:tcPr>
            <w:tcW w:w="1559" w:type="dxa"/>
            <w:shd w:val="clear" w:color="auto" w:fill="002060"/>
          </w:tcPr>
          <w:p w14:paraId="5AF4C757" w14:textId="53C38D93" w:rsidR="00586D9B" w:rsidRPr="00C21AF5" w:rsidRDefault="00586D9B" w:rsidP="000B0C6F">
            <w:pPr>
              <w:spacing w:before="60" w:after="60"/>
              <w:jc w:val="center"/>
              <w:rPr>
                <w:rFonts w:ascii="Arial" w:hAnsi="Arial" w:cs="Arial"/>
                <w:b/>
                <w:bCs/>
              </w:rPr>
            </w:pPr>
            <w:r w:rsidRPr="00C21AF5">
              <w:rPr>
                <w:rFonts w:ascii="Arial" w:hAnsi="Arial" w:cs="Arial"/>
                <w:b/>
                <w:bCs/>
              </w:rPr>
              <w:t>Regional NSW</w:t>
            </w:r>
          </w:p>
        </w:tc>
        <w:tc>
          <w:tcPr>
            <w:tcW w:w="1508" w:type="dxa"/>
            <w:shd w:val="clear" w:color="auto" w:fill="002060"/>
          </w:tcPr>
          <w:p w14:paraId="7B90381B" w14:textId="16BC4AAD" w:rsidR="00586D9B" w:rsidRPr="00C21AF5" w:rsidRDefault="00586D9B" w:rsidP="000B0C6F">
            <w:pPr>
              <w:spacing w:before="60" w:after="60"/>
              <w:jc w:val="center"/>
              <w:rPr>
                <w:rFonts w:ascii="Arial" w:hAnsi="Arial" w:cs="Arial"/>
                <w:b/>
                <w:bCs/>
              </w:rPr>
            </w:pPr>
            <w:r w:rsidRPr="00C21AF5">
              <w:rPr>
                <w:rFonts w:ascii="Arial" w:hAnsi="Arial" w:cs="Arial"/>
                <w:b/>
                <w:bCs/>
              </w:rPr>
              <w:t>NSW</w:t>
            </w:r>
          </w:p>
        </w:tc>
      </w:tr>
      <w:tr w:rsidR="00C21AF5" w:rsidRPr="00C21AF5" w14:paraId="11659F22" w14:textId="77777777" w:rsidTr="000F3D85">
        <w:tc>
          <w:tcPr>
            <w:tcW w:w="1980" w:type="dxa"/>
          </w:tcPr>
          <w:p w14:paraId="3EDC8A5A" w14:textId="6C25DC0D" w:rsidR="00586D9B" w:rsidRPr="00C21AF5" w:rsidRDefault="00586D9B" w:rsidP="00586D9B">
            <w:pPr>
              <w:spacing w:before="60" w:after="60"/>
              <w:rPr>
                <w:rFonts w:ascii="Arial" w:hAnsi="Arial" w:cs="Arial"/>
              </w:rPr>
            </w:pPr>
            <w:r w:rsidRPr="00C21AF5">
              <w:rPr>
                <w:rFonts w:ascii="Arial" w:hAnsi="Arial" w:cs="Arial"/>
              </w:rPr>
              <w:t>Lowest</w:t>
            </w:r>
          </w:p>
        </w:tc>
        <w:tc>
          <w:tcPr>
            <w:tcW w:w="2126" w:type="dxa"/>
          </w:tcPr>
          <w:p w14:paraId="2DB47DDB" w14:textId="6BC121A1" w:rsidR="00586D9B" w:rsidRPr="00C21AF5" w:rsidRDefault="00586D9B" w:rsidP="000F3D85">
            <w:pPr>
              <w:tabs>
                <w:tab w:val="decimal" w:pos="878"/>
              </w:tabs>
              <w:spacing w:before="60" w:after="60"/>
              <w:rPr>
                <w:rFonts w:ascii="Arial" w:hAnsi="Arial" w:cs="Arial"/>
              </w:rPr>
            </w:pPr>
            <w:r w:rsidRPr="00C21AF5">
              <w:rPr>
                <w:rFonts w:ascii="Arial" w:hAnsi="Arial" w:cs="Arial"/>
              </w:rPr>
              <w:t>33.8</w:t>
            </w:r>
          </w:p>
        </w:tc>
        <w:tc>
          <w:tcPr>
            <w:tcW w:w="1843" w:type="dxa"/>
          </w:tcPr>
          <w:p w14:paraId="004D0843" w14:textId="25329C56" w:rsidR="00586D9B" w:rsidRPr="00C21AF5" w:rsidRDefault="00586D9B" w:rsidP="000F3D85">
            <w:pPr>
              <w:tabs>
                <w:tab w:val="decimal" w:pos="748"/>
              </w:tabs>
              <w:spacing w:before="60" w:after="60"/>
              <w:rPr>
                <w:rFonts w:ascii="Arial" w:hAnsi="Arial" w:cs="Arial"/>
              </w:rPr>
            </w:pPr>
            <w:r w:rsidRPr="00C21AF5">
              <w:rPr>
                <w:rFonts w:ascii="Arial" w:hAnsi="Arial" w:cs="Arial"/>
              </w:rPr>
              <w:t>27.3</w:t>
            </w:r>
          </w:p>
        </w:tc>
        <w:tc>
          <w:tcPr>
            <w:tcW w:w="1559" w:type="dxa"/>
          </w:tcPr>
          <w:p w14:paraId="2642B3AE" w14:textId="30B4E4C5" w:rsidR="00586D9B" w:rsidRPr="00C21AF5" w:rsidRDefault="00586D9B" w:rsidP="000F3D85">
            <w:pPr>
              <w:tabs>
                <w:tab w:val="decimal" w:pos="691"/>
              </w:tabs>
              <w:spacing w:before="60" w:after="60"/>
              <w:rPr>
                <w:rFonts w:ascii="Arial" w:hAnsi="Arial" w:cs="Arial"/>
              </w:rPr>
            </w:pPr>
            <w:r w:rsidRPr="00C21AF5">
              <w:rPr>
                <w:rFonts w:ascii="Arial" w:hAnsi="Arial" w:cs="Arial"/>
              </w:rPr>
              <w:t>30.5</w:t>
            </w:r>
          </w:p>
        </w:tc>
        <w:tc>
          <w:tcPr>
            <w:tcW w:w="1508" w:type="dxa"/>
          </w:tcPr>
          <w:p w14:paraId="67F3DCAC" w14:textId="01544C0C" w:rsidR="00586D9B" w:rsidRPr="00C21AF5" w:rsidRDefault="00586D9B" w:rsidP="000F3D85">
            <w:pPr>
              <w:tabs>
                <w:tab w:val="decimal" w:pos="603"/>
              </w:tabs>
              <w:spacing w:before="60" w:after="60"/>
              <w:rPr>
                <w:rFonts w:ascii="Arial" w:hAnsi="Arial" w:cs="Arial"/>
              </w:rPr>
            </w:pPr>
            <w:r w:rsidRPr="00C21AF5">
              <w:rPr>
                <w:rFonts w:ascii="Arial" w:hAnsi="Arial" w:cs="Arial"/>
              </w:rPr>
              <w:t>25.0</w:t>
            </w:r>
          </w:p>
        </w:tc>
      </w:tr>
      <w:tr w:rsidR="00C21AF5" w:rsidRPr="00C21AF5" w14:paraId="57A98F8D" w14:textId="77777777" w:rsidTr="000F3D85">
        <w:tc>
          <w:tcPr>
            <w:tcW w:w="1980" w:type="dxa"/>
          </w:tcPr>
          <w:p w14:paraId="02969D5E" w14:textId="39A34219" w:rsidR="00586D9B" w:rsidRPr="00C21AF5" w:rsidRDefault="00586D9B" w:rsidP="00586D9B">
            <w:pPr>
              <w:spacing w:before="60" w:after="60"/>
              <w:rPr>
                <w:rFonts w:ascii="Arial" w:hAnsi="Arial" w:cs="Arial"/>
              </w:rPr>
            </w:pPr>
            <w:r w:rsidRPr="00C21AF5">
              <w:rPr>
                <w:rFonts w:ascii="Arial" w:hAnsi="Arial" w:cs="Arial"/>
              </w:rPr>
              <w:t>Medium Lowest</w:t>
            </w:r>
          </w:p>
        </w:tc>
        <w:tc>
          <w:tcPr>
            <w:tcW w:w="2126" w:type="dxa"/>
          </w:tcPr>
          <w:p w14:paraId="671FD399" w14:textId="43DF100E" w:rsidR="00586D9B" w:rsidRPr="00C21AF5" w:rsidRDefault="00586D9B" w:rsidP="000F3D85">
            <w:pPr>
              <w:tabs>
                <w:tab w:val="decimal" w:pos="878"/>
              </w:tabs>
              <w:spacing w:before="60" w:after="60"/>
              <w:rPr>
                <w:rFonts w:ascii="Arial" w:hAnsi="Arial" w:cs="Arial"/>
              </w:rPr>
            </w:pPr>
            <w:r w:rsidRPr="00C21AF5">
              <w:rPr>
                <w:rFonts w:ascii="Arial" w:hAnsi="Arial" w:cs="Arial"/>
              </w:rPr>
              <w:t>29.1</w:t>
            </w:r>
          </w:p>
        </w:tc>
        <w:tc>
          <w:tcPr>
            <w:tcW w:w="1843" w:type="dxa"/>
          </w:tcPr>
          <w:p w14:paraId="4B05741E" w14:textId="11F3EBB0" w:rsidR="00586D9B" w:rsidRPr="00C21AF5" w:rsidRDefault="00586D9B" w:rsidP="000F3D85">
            <w:pPr>
              <w:tabs>
                <w:tab w:val="decimal" w:pos="748"/>
              </w:tabs>
              <w:spacing w:before="60" w:after="60"/>
              <w:rPr>
                <w:rFonts w:ascii="Arial" w:hAnsi="Arial" w:cs="Arial"/>
              </w:rPr>
            </w:pPr>
            <w:r w:rsidRPr="00C21AF5">
              <w:rPr>
                <w:rFonts w:ascii="Arial" w:hAnsi="Arial" w:cs="Arial"/>
              </w:rPr>
              <w:t>27.4</w:t>
            </w:r>
          </w:p>
        </w:tc>
        <w:tc>
          <w:tcPr>
            <w:tcW w:w="1559" w:type="dxa"/>
          </w:tcPr>
          <w:p w14:paraId="2B448415" w14:textId="744685D3" w:rsidR="00586D9B" w:rsidRPr="00C21AF5" w:rsidRDefault="00586D9B" w:rsidP="000F3D85">
            <w:pPr>
              <w:tabs>
                <w:tab w:val="decimal" w:pos="691"/>
              </w:tabs>
              <w:spacing w:before="60" w:after="60"/>
              <w:rPr>
                <w:rFonts w:ascii="Arial" w:hAnsi="Arial" w:cs="Arial"/>
              </w:rPr>
            </w:pPr>
            <w:r w:rsidRPr="00C21AF5">
              <w:rPr>
                <w:rFonts w:ascii="Arial" w:hAnsi="Arial" w:cs="Arial"/>
              </w:rPr>
              <w:t>28.8</w:t>
            </w:r>
          </w:p>
        </w:tc>
        <w:tc>
          <w:tcPr>
            <w:tcW w:w="1508" w:type="dxa"/>
          </w:tcPr>
          <w:p w14:paraId="7E8BE3A8" w14:textId="36E23921" w:rsidR="00586D9B" w:rsidRPr="00C21AF5" w:rsidRDefault="00586D9B" w:rsidP="000F3D85">
            <w:pPr>
              <w:tabs>
                <w:tab w:val="decimal" w:pos="603"/>
              </w:tabs>
              <w:spacing w:before="60" w:after="60"/>
              <w:rPr>
                <w:rFonts w:ascii="Arial" w:hAnsi="Arial" w:cs="Arial"/>
              </w:rPr>
            </w:pPr>
            <w:r w:rsidRPr="00C21AF5">
              <w:rPr>
                <w:rFonts w:ascii="Arial" w:hAnsi="Arial" w:cs="Arial"/>
              </w:rPr>
              <w:t>25.0</w:t>
            </w:r>
          </w:p>
        </w:tc>
      </w:tr>
      <w:tr w:rsidR="00C21AF5" w:rsidRPr="00C21AF5" w14:paraId="4D0926A5" w14:textId="77777777" w:rsidTr="000F3D85">
        <w:tc>
          <w:tcPr>
            <w:tcW w:w="1980" w:type="dxa"/>
          </w:tcPr>
          <w:p w14:paraId="0BAB55E5" w14:textId="7E3EDAFD" w:rsidR="00586D9B" w:rsidRPr="00C21AF5" w:rsidRDefault="00586D9B" w:rsidP="00586D9B">
            <w:pPr>
              <w:spacing w:before="60" w:after="60"/>
              <w:rPr>
                <w:rFonts w:ascii="Arial" w:hAnsi="Arial" w:cs="Arial"/>
              </w:rPr>
            </w:pPr>
            <w:r w:rsidRPr="00C21AF5">
              <w:rPr>
                <w:rFonts w:ascii="Arial" w:hAnsi="Arial" w:cs="Arial"/>
              </w:rPr>
              <w:t>Medium Highest</w:t>
            </w:r>
          </w:p>
        </w:tc>
        <w:tc>
          <w:tcPr>
            <w:tcW w:w="2126" w:type="dxa"/>
          </w:tcPr>
          <w:p w14:paraId="470AE930" w14:textId="3122BFEA" w:rsidR="00586D9B" w:rsidRPr="00C21AF5" w:rsidRDefault="00586D9B" w:rsidP="000F3D85">
            <w:pPr>
              <w:tabs>
                <w:tab w:val="decimal" w:pos="878"/>
              </w:tabs>
              <w:spacing w:before="60" w:after="60"/>
              <w:rPr>
                <w:rFonts w:ascii="Arial" w:hAnsi="Arial" w:cs="Arial"/>
              </w:rPr>
            </w:pPr>
            <w:r w:rsidRPr="00C21AF5">
              <w:rPr>
                <w:rFonts w:ascii="Arial" w:hAnsi="Arial" w:cs="Arial"/>
              </w:rPr>
              <w:t>23.3</w:t>
            </w:r>
          </w:p>
        </w:tc>
        <w:tc>
          <w:tcPr>
            <w:tcW w:w="1843" w:type="dxa"/>
          </w:tcPr>
          <w:p w14:paraId="08A0BCB8" w14:textId="7919C98E" w:rsidR="00586D9B" w:rsidRPr="00C21AF5" w:rsidRDefault="00586D9B" w:rsidP="000F3D85">
            <w:pPr>
              <w:tabs>
                <w:tab w:val="decimal" w:pos="748"/>
              </w:tabs>
              <w:spacing w:before="60" w:after="60"/>
              <w:rPr>
                <w:rFonts w:ascii="Arial" w:hAnsi="Arial" w:cs="Arial"/>
              </w:rPr>
            </w:pPr>
            <w:r w:rsidRPr="00C21AF5">
              <w:rPr>
                <w:rFonts w:ascii="Arial" w:hAnsi="Arial" w:cs="Arial"/>
              </w:rPr>
              <w:t>24.5</w:t>
            </w:r>
          </w:p>
        </w:tc>
        <w:tc>
          <w:tcPr>
            <w:tcW w:w="1559" w:type="dxa"/>
          </w:tcPr>
          <w:p w14:paraId="19749000" w14:textId="05EB4A26" w:rsidR="00586D9B" w:rsidRPr="00C21AF5" w:rsidRDefault="00586D9B" w:rsidP="000F3D85">
            <w:pPr>
              <w:tabs>
                <w:tab w:val="decimal" w:pos="691"/>
              </w:tabs>
              <w:spacing w:before="60" w:after="60"/>
              <w:rPr>
                <w:rFonts w:ascii="Arial" w:hAnsi="Arial" w:cs="Arial"/>
              </w:rPr>
            </w:pPr>
            <w:r w:rsidRPr="00C21AF5">
              <w:rPr>
                <w:rFonts w:ascii="Arial" w:hAnsi="Arial" w:cs="Arial"/>
              </w:rPr>
              <w:t>24.2</w:t>
            </w:r>
          </w:p>
        </w:tc>
        <w:tc>
          <w:tcPr>
            <w:tcW w:w="1508" w:type="dxa"/>
          </w:tcPr>
          <w:p w14:paraId="27C50979" w14:textId="41D48EF9" w:rsidR="00586D9B" w:rsidRPr="00C21AF5" w:rsidRDefault="00586D9B" w:rsidP="000F3D85">
            <w:pPr>
              <w:tabs>
                <w:tab w:val="decimal" w:pos="603"/>
              </w:tabs>
              <w:spacing w:before="60" w:after="60"/>
              <w:rPr>
                <w:rFonts w:ascii="Arial" w:hAnsi="Arial" w:cs="Arial"/>
              </w:rPr>
            </w:pPr>
            <w:r w:rsidRPr="00C21AF5">
              <w:rPr>
                <w:rFonts w:ascii="Arial" w:hAnsi="Arial" w:cs="Arial"/>
              </w:rPr>
              <w:t>25.0</w:t>
            </w:r>
          </w:p>
        </w:tc>
      </w:tr>
      <w:tr w:rsidR="00C21AF5" w:rsidRPr="00C21AF5" w14:paraId="0A50EC2C" w14:textId="77777777" w:rsidTr="000F3D85">
        <w:tc>
          <w:tcPr>
            <w:tcW w:w="1980" w:type="dxa"/>
          </w:tcPr>
          <w:p w14:paraId="093E14AA" w14:textId="415CCD11" w:rsidR="00586D9B" w:rsidRPr="00C21AF5" w:rsidRDefault="00586D9B" w:rsidP="00586D9B">
            <w:pPr>
              <w:spacing w:before="60" w:after="60"/>
              <w:rPr>
                <w:rFonts w:ascii="Arial" w:hAnsi="Arial" w:cs="Arial"/>
              </w:rPr>
            </w:pPr>
            <w:r w:rsidRPr="00C21AF5">
              <w:rPr>
                <w:rFonts w:ascii="Arial" w:hAnsi="Arial" w:cs="Arial"/>
              </w:rPr>
              <w:t>Highest</w:t>
            </w:r>
          </w:p>
        </w:tc>
        <w:tc>
          <w:tcPr>
            <w:tcW w:w="2126" w:type="dxa"/>
          </w:tcPr>
          <w:p w14:paraId="2DAB64F2" w14:textId="680D2DE3" w:rsidR="00586D9B" w:rsidRPr="00C21AF5" w:rsidRDefault="00586D9B" w:rsidP="000F3D85">
            <w:pPr>
              <w:tabs>
                <w:tab w:val="decimal" w:pos="878"/>
              </w:tabs>
              <w:spacing w:before="60" w:after="60"/>
              <w:rPr>
                <w:rFonts w:ascii="Arial" w:hAnsi="Arial" w:cs="Arial"/>
              </w:rPr>
            </w:pPr>
            <w:r w:rsidRPr="00C21AF5">
              <w:rPr>
                <w:rFonts w:ascii="Arial" w:hAnsi="Arial" w:cs="Arial"/>
              </w:rPr>
              <w:t>13.8</w:t>
            </w:r>
          </w:p>
        </w:tc>
        <w:tc>
          <w:tcPr>
            <w:tcW w:w="1843" w:type="dxa"/>
          </w:tcPr>
          <w:p w14:paraId="234C71AE" w14:textId="22BD4DEF" w:rsidR="00586D9B" w:rsidRPr="00C21AF5" w:rsidRDefault="00586D9B" w:rsidP="000F3D85">
            <w:pPr>
              <w:tabs>
                <w:tab w:val="decimal" w:pos="748"/>
              </w:tabs>
              <w:spacing w:before="60" w:after="60"/>
              <w:rPr>
                <w:rFonts w:ascii="Arial" w:hAnsi="Arial" w:cs="Arial"/>
              </w:rPr>
            </w:pPr>
            <w:r w:rsidRPr="00C21AF5">
              <w:rPr>
                <w:rFonts w:ascii="Arial" w:hAnsi="Arial" w:cs="Arial"/>
              </w:rPr>
              <w:t>20.8</w:t>
            </w:r>
          </w:p>
        </w:tc>
        <w:tc>
          <w:tcPr>
            <w:tcW w:w="1559" w:type="dxa"/>
          </w:tcPr>
          <w:p w14:paraId="46B1EAEA" w14:textId="7DA4147F" w:rsidR="00586D9B" w:rsidRPr="00C21AF5" w:rsidRDefault="00586D9B" w:rsidP="000F3D85">
            <w:pPr>
              <w:tabs>
                <w:tab w:val="decimal" w:pos="691"/>
              </w:tabs>
              <w:spacing w:before="60" w:after="60"/>
              <w:rPr>
                <w:rFonts w:ascii="Arial" w:hAnsi="Arial" w:cs="Arial"/>
              </w:rPr>
            </w:pPr>
            <w:r w:rsidRPr="00C21AF5">
              <w:rPr>
                <w:rFonts w:ascii="Arial" w:hAnsi="Arial" w:cs="Arial"/>
              </w:rPr>
              <w:t>16.5</w:t>
            </w:r>
          </w:p>
        </w:tc>
        <w:tc>
          <w:tcPr>
            <w:tcW w:w="1508" w:type="dxa"/>
          </w:tcPr>
          <w:p w14:paraId="328DF085" w14:textId="0E2A0132" w:rsidR="00586D9B" w:rsidRPr="00C21AF5" w:rsidRDefault="00586D9B" w:rsidP="000F3D85">
            <w:pPr>
              <w:tabs>
                <w:tab w:val="decimal" w:pos="603"/>
              </w:tabs>
              <w:spacing w:before="60" w:after="60"/>
              <w:rPr>
                <w:rFonts w:ascii="Arial" w:hAnsi="Arial" w:cs="Arial"/>
              </w:rPr>
            </w:pPr>
            <w:r w:rsidRPr="00C21AF5">
              <w:rPr>
                <w:rFonts w:ascii="Arial" w:hAnsi="Arial" w:cs="Arial"/>
              </w:rPr>
              <w:t>25.0</w:t>
            </w:r>
          </w:p>
        </w:tc>
      </w:tr>
    </w:tbl>
    <w:p w14:paraId="1911A622" w14:textId="22988D2C" w:rsidR="00586D9B" w:rsidRPr="00C21AF5" w:rsidRDefault="00CD3CFA" w:rsidP="00830E52">
      <w:pPr>
        <w:rPr>
          <w:rFonts w:ascii="Arial" w:hAnsi="Arial" w:cs="Arial"/>
          <w:i/>
          <w:iCs/>
        </w:rPr>
      </w:pPr>
      <w:r w:rsidRPr="00C21AF5">
        <w:rPr>
          <w:rFonts w:ascii="Arial" w:hAnsi="Arial" w:cs="Arial"/>
          <w:i/>
          <w:iCs/>
        </w:rPr>
        <w:t>Source:  Census Data</w:t>
      </w:r>
      <w:r w:rsidR="00503FE4">
        <w:rPr>
          <w:rFonts w:ascii="Arial" w:hAnsi="Arial" w:cs="Arial"/>
          <w:i/>
          <w:iCs/>
        </w:rPr>
        <w:t xml:space="preserve"> </w:t>
      </w:r>
      <w:r w:rsidR="000765B1">
        <w:rPr>
          <w:rFonts w:ascii="Arial" w:hAnsi="Arial" w:cs="Arial"/>
          <w:i/>
          <w:iCs/>
        </w:rPr>
        <w:t>2021</w:t>
      </w:r>
    </w:p>
    <w:p w14:paraId="4C347F69" w14:textId="3A21850C" w:rsidR="0085425D" w:rsidRPr="001F4A89" w:rsidRDefault="0085425D">
      <w:pPr>
        <w:rPr>
          <w:rFonts w:ascii="Arial" w:hAnsi="Arial" w:cs="Arial"/>
        </w:rPr>
      </w:pPr>
      <w:r w:rsidRPr="001F4A89">
        <w:rPr>
          <w:rFonts w:ascii="Arial" w:hAnsi="Arial" w:cs="Arial"/>
        </w:rPr>
        <w:lastRenderedPageBreak/>
        <w:t>The data has been presented in ranges for the following weekly income levels:</w:t>
      </w:r>
    </w:p>
    <w:p w14:paraId="06AC5AB3" w14:textId="24883C8E" w:rsidR="0085425D" w:rsidRPr="001F4A89" w:rsidRDefault="009E2A9F" w:rsidP="0085425D">
      <w:pPr>
        <w:pStyle w:val="ListParagraph"/>
        <w:numPr>
          <w:ilvl w:val="0"/>
          <w:numId w:val="13"/>
        </w:numPr>
        <w:rPr>
          <w:rFonts w:ascii="Arial" w:eastAsiaTheme="minorHAnsi" w:hAnsi="Arial" w:cs="Arial"/>
          <w:kern w:val="2"/>
          <w:lang w:val="en-AU"/>
          <w14:ligatures w14:val="standardContextual"/>
        </w:rPr>
      </w:pPr>
      <w:r w:rsidRPr="001F4A89">
        <w:rPr>
          <w:rFonts w:ascii="Arial" w:eastAsiaTheme="minorHAnsi" w:hAnsi="Arial" w:cs="Arial"/>
          <w:kern w:val="2"/>
          <w:lang w:val="en-AU"/>
          <w14:ligatures w14:val="standardContextual"/>
        </w:rPr>
        <w:t xml:space="preserve">The </w:t>
      </w:r>
      <w:proofErr w:type="gramStart"/>
      <w:r w:rsidRPr="001F4A89">
        <w:rPr>
          <w:rFonts w:ascii="Arial" w:eastAsiaTheme="minorHAnsi" w:hAnsi="Arial" w:cs="Arial"/>
          <w:kern w:val="2"/>
          <w:lang w:val="en-AU"/>
          <w14:ligatures w14:val="standardContextual"/>
        </w:rPr>
        <w:t>Low income</w:t>
      </w:r>
      <w:proofErr w:type="gramEnd"/>
      <w:r w:rsidRPr="001F4A89">
        <w:rPr>
          <w:rFonts w:ascii="Arial" w:eastAsiaTheme="minorHAnsi" w:hAnsi="Arial" w:cs="Arial"/>
          <w:kern w:val="2"/>
          <w:lang w:val="en-AU"/>
          <w14:ligatures w14:val="standardContextual"/>
        </w:rPr>
        <w:t xml:space="preserve"> range is representative of income less than </w:t>
      </w:r>
      <w:r w:rsidR="0085425D" w:rsidRPr="001F4A89">
        <w:rPr>
          <w:rFonts w:ascii="Arial" w:eastAsiaTheme="minorHAnsi" w:hAnsi="Arial" w:cs="Arial"/>
          <w:kern w:val="2"/>
          <w:lang w:val="en-AU"/>
          <w14:ligatures w14:val="standardContextual"/>
        </w:rPr>
        <w:t>$</w:t>
      </w:r>
      <w:r w:rsidR="00003342" w:rsidRPr="001F4A89">
        <w:rPr>
          <w:rFonts w:ascii="Arial" w:eastAsiaTheme="minorHAnsi" w:hAnsi="Arial" w:cs="Arial"/>
          <w:kern w:val="2"/>
          <w:lang w:val="en-AU"/>
          <w14:ligatures w14:val="standardContextual"/>
        </w:rPr>
        <w:t>800</w:t>
      </w:r>
      <w:r w:rsidRPr="001F4A89">
        <w:rPr>
          <w:rFonts w:ascii="Arial" w:eastAsiaTheme="minorHAnsi" w:hAnsi="Arial" w:cs="Arial"/>
          <w:kern w:val="2"/>
          <w:lang w:val="en-AU"/>
          <w14:ligatures w14:val="standardContextual"/>
        </w:rPr>
        <w:t>.</w:t>
      </w:r>
      <w:r w:rsidR="0085425D" w:rsidRPr="001F4A89">
        <w:rPr>
          <w:rFonts w:ascii="Arial" w:eastAsiaTheme="minorHAnsi" w:hAnsi="Arial" w:cs="Arial"/>
          <w:kern w:val="2"/>
          <w:lang w:val="en-AU"/>
          <w14:ligatures w14:val="standardContextual"/>
        </w:rPr>
        <w:t xml:space="preserve"> </w:t>
      </w:r>
    </w:p>
    <w:p w14:paraId="0E62CCDF" w14:textId="28ECB048" w:rsidR="009E2A9F" w:rsidRPr="001F4A89" w:rsidRDefault="00003342" w:rsidP="00410065">
      <w:pPr>
        <w:pStyle w:val="ListParagraph"/>
        <w:numPr>
          <w:ilvl w:val="0"/>
          <w:numId w:val="13"/>
        </w:numPr>
        <w:rPr>
          <w:rFonts w:ascii="Arial" w:eastAsiaTheme="minorHAnsi" w:hAnsi="Arial" w:cs="Arial"/>
          <w:kern w:val="2"/>
          <w:lang w:val="en-AU"/>
          <w14:ligatures w14:val="standardContextual"/>
        </w:rPr>
      </w:pPr>
      <w:r w:rsidRPr="001F4A89">
        <w:rPr>
          <w:rFonts w:ascii="Arial" w:eastAsiaTheme="minorHAnsi" w:hAnsi="Arial" w:cs="Arial"/>
          <w:kern w:val="2"/>
          <w:lang w:val="en-AU"/>
          <w14:ligatures w14:val="standardContextual"/>
        </w:rPr>
        <w:t xml:space="preserve">The </w:t>
      </w:r>
      <w:proofErr w:type="gramStart"/>
      <w:r w:rsidRPr="001F4A89">
        <w:rPr>
          <w:rFonts w:ascii="Arial" w:eastAsiaTheme="minorHAnsi" w:hAnsi="Arial" w:cs="Arial"/>
          <w:kern w:val="2"/>
          <w:lang w:val="en-AU"/>
          <w14:ligatures w14:val="standardContextual"/>
        </w:rPr>
        <w:t>High income</w:t>
      </w:r>
      <w:proofErr w:type="gramEnd"/>
      <w:r w:rsidRPr="001F4A89">
        <w:rPr>
          <w:rFonts w:ascii="Arial" w:eastAsiaTheme="minorHAnsi" w:hAnsi="Arial" w:cs="Arial"/>
          <w:kern w:val="2"/>
          <w:lang w:val="en-AU"/>
          <w14:ligatures w14:val="standardContextual"/>
        </w:rPr>
        <w:t xml:space="preserve"> range is representative of income greater than $3000 per week.</w:t>
      </w:r>
    </w:p>
    <w:p w14:paraId="2CAB0B71" w14:textId="77777777" w:rsidR="00410065" w:rsidRPr="00C21AF5" w:rsidRDefault="00410065">
      <w:pPr>
        <w:rPr>
          <w:rFonts w:ascii="Arial" w:hAnsi="Arial" w:cs="Arial"/>
        </w:rPr>
      </w:pPr>
    </w:p>
    <w:p w14:paraId="6CD3C1C0" w14:textId="72FFCE4D" w:rsidR="00410065" w:rsidRPr="00C21AF5" w:rsidRDefault="00410065">
      <w:pPr>
        <w:rPr>
          <w:rFonts w:ascii="Arial" w:hAnsi="Arial" w:cs="Arial"/>
        </w:rPr>
      </w:pPr>
      <w:r w:rsidRPr="00C21AF5">
        <w:rPr>
          <w:rFonts w:ascii="Arial" w:hAnsi="Arial" w:cs="Arial"/>
          <w:noProof/>
        </w:rPr>
        <w:drawing>
          <wp:inline distT="0" distB="0" distL="0" distR="0" wp14:anchorId="5A9A523D" wp14:editId="52810415">
            <wp:extent cx="5486400" cy="3200400"/>
            <wp:effectExtent l="0" t="0" r="0" b="0"/>
            <wp:docPr id="204064055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A82192" w14:textId="77777777" w:rsidR="0080059E" w:rsidRDefault="0080059E" w:rsidP="000765B1">
      <w:pPr>
        <w:jc w:val="both"/>
        <w:rPr>
          <w:rFonts w:ascii="Arial" w:hAnsi="Arial" w:cs="Arial"/>
        </w:rPr>
      </w:pPr>
    </w:p>
    <w:p w14:paraId="52AC52A4" w14:textId="6808A869" w:rsidR="0080059E" w:rsidRPr="006B1065" w:rsidRDefault="006B1065" w:rsidP="0080059E">
      <w:pPr>
        <w:pStyle w:val="Heading1"/>
        <w:rPr>
          <w:rFonts w:ascii="Arial" w:hAnsi="Arial" w:cs="Arial"/>
          <w:b/>
          <w:bCs/>
          <w:sz w:val="22"/>
          <w:szCs w:val="22"/>
        </w:rPr>
      </w:pPr>
      <w:bookmarkStart w:id="12" w:name="_Toc156305597"/>
      <w:r w:rsidRPr="006B1065">
        <w:rPr>
          <w:rFonts w:ascii="Arial" w:hAnsi="Arial" w:cs="Arial"/>
          <w:b/>
          <w:bCs/>
          <w:sz w:val="22"/>
          <w:szCs w:val="22"/>
        </w:rPr>
        <w:t>Household Income Quartiles</w:t>
      </w:r>
      <w:bookmarkEnd w:id="12"/>
    </w:p>
    <w:p w14:paraId="70813856" w14:textId="051C8A40" w:rsidR="000765B1" w:rsidRPr="001F4A89" w:rsidRDefault="000765B1" w:rsidP="000765B1">
      <w:pPr>
        <w:jc w:val="both"/>
        <w:rPr>
          <w:rFonts w:ascii="Arial" w:hAnsi="Arial" w:cs="Arial"/>
        </w:rPr>
      </w:pPr>
      <w:r w:rsidRPr="001F4A89">
        <w:rPr>
          <w:rFonts w:ascii="Arial" w:hAnsi="Arial" w:cs="Arial"/>
        </w:rPr>
        <w:t xml:space="preserve">Household incomes in Snowy Valleys in 2021 compared to Regional NSW shows that there was a smaller proportion of </w:t>
      </w:r>
      <w:proofErr w:type="gramStart"/>
      <w:r w:rsidRPr="001F4A89">
        <w:rPr>
          <w:rFonts w:ascii="Arial" w:hAnsi="Arial" w:cs="Arial"/>
        </w:rPr>
        <w:t>high income</w:t>
      </w:r>
      <w:proofErr w:type="gramEnd"/>
      <w:r w:rsidRPr="001F4A89">
        <w:rPr>
          <w:rFonts w:ascii="Arial" w:hAnsi="Arial" w:cs="Arial"/>
        </w:rPr>
        <w:t xml:space="preserve"> households (those earning $3,000 per week or more) and a higher proportion of low income households (those earning less than $800 per week).</w:t>
      </w:r>
    </w:p>
    <w:p w14:paraId="285B3D52" w14:textId="77777777" w:rsidR="000765B1" w:rsidRPr="001F4A89" w:rsidRDefault="000765B1" w:rsidP="000765B1">
      <w:pPr>
        <w:jc w:val="both"/>
        <w:rPr>
          <w:rFonts w:ascii="Arial" w:hAnsi="Arial" w:cs="Arial"/>
        </w:rPr>
      </w:pPr>
      <w:proofErr w:type="gramStart"/>
      <w:r w:rsidRPr="001F4A89">
        <w:rPr>
          <w:rFonts w:ascii="Arial" w:hAnsi="Arial" w:cs="Arial"/>
        </w:rPr>
        <w:t>Overall</w:t>
      </w:r>
      <w:proofErr w:type="gramEnd"/>
      <w:r w:rsidRPr="001F4A89">
        <w:rPr>
          <w:rFonts w:ascii="Arial" w:hAnsi="Arial" w:cs="Arial"/>
        </w:rPr>
        <w:t xml:space="preserve"> 12.7% of the households earned a high income and 27.9% were low income households, compared with 16.7% and 26.0% respectively for Regional NSW.</w:t>
      </w:r>
    </w:p>
    <w:p w14:paraId="4F4C32DA" w14:textId="77777777" w:rsidR="000765B1" w:rsidRPr="001F4A89" w:rsidRDefault="000765B1" w:rsidP="000765B1">
      <w:pPr>
        <w:jc w:val="both"/>
        <w:rPr>
          <w:rFonts w:ascii="Arial" w:hAnsi="Arial" w:cs="Arial"/>
        </w:rPr>
      </w:pPr>
      <w:r w:rsidRPr="001F4A89">
        <w:rPr>
          <w:rFonts w:ascii="Arial" w:hAnsi="Arial" w:cs="Arial"/>
        </w:rPr>
        <w:t>The most significant change in Snowy Valleys Council between 2016 and 2021 was in the lowest quartile which showed an increase of 200 households.</w:t>
      </w:r>
    </w:p>
    <w:tbl>
      <w:tblPr>
        <w:tblStyle w:val="TableGrid"/>
        <w:tblW w:w="0" w:type="auto"/>
        <w:tblLook w:val="04A0" w:firstRow="1" w:lastRow="0" w:firstColumn="1" w:lastColumn="0" w:noHBand="0" w:noVBand="1"/>
      </w:tblPr>
      <w:tblGrid>
        <w:gridCol w:w="5098"/>
        <w:gridCol w:w="3918"/>
      </w:tblGrid>
      <w:tr w:rsidR="000765B1" w:rsidRPr="005F0DFB" w14:paraId="44AFBCFE" w14:textId="77777777" w:rsidTr="00174965">
        <w:tc>
          <w:tcPr>
            <w:tcW w:w="5098" w:type="dxa"/>
            <w:shd w:val="clear" w:color="auto" w:fill="002060"/>
          </w:tcPr>
          <w:p w14:paraId="3947BAA6" w14:textId="77777777" w:rsidR="000765B1" w:rsidRPr="005F0DFB" w:rsidRDefault="000765B1" w:rsidP="00174965">
            <w:pPr>
              <w:spacing w:before="60" w:after="60"/>
              <w:jc w:val="center"/>
              <w:rPr>
                <w:rFonts w:ascii="Arial" w:hAnsi="Arial" w:cs="Arial"/>
                <w:b/>
                <w:bCs/>
                <w:color w:val="FFFFFF" w:themeColor="background1"/>
              </w:rPr>
            </w:pPr>
            <w:r w:rsidRPr="005F0DFB">
              <w:rPr>
                <w:rFonts w:ascii="Arial" w:hAnsi="Arial" w:cs="Arial"/>
                <w:b/>
                <w:bCs/>
                <w:color w:val="FFFFFF" w:themeColor="background1"/>
              </w:rPr>
              <w:t>Household Income Quartile Dollar Ranges</w:t>
            </w:r>
          </w:p>
        </w:tc>
        <w:tc>
          <w:tcPr>
            <w:tcW w:w="3918" w:type="dxa"/>
            <w:shd w:val="clear" w:color="auto" w:fill="002060"/>
          </w:tcPr>
          <w:p w14:paraId="0FD049E6" w14:textId="77777777" w:rsidR="000765B1" w:rsidRPr="005F0DFB" w:rsidRDefault="000765B1" w:rsidP="00174965">
            <w:pPr>
              <w:spacing w:before="60" w:after="60"/>
              <w:jc w:val="center"/>
              <w:rPr>
                <w:rFonts w:ascii="Arial" w:hAnsi="Arial" w:cs="Arial"/>
                <w:b/>
                <w:bCs/>
                <w:color w:val="FFFFFF" w:themeColor="background1"/>
              </w:rPr>
            </w:pPr>
            <w:r w:rsidRPr="005F0DFB">
              <w:rPr>
                <w:rFonts w:ascii="Arial" w:hAnsi="Arial" w:cs="Arial"/>
                <w:b/>
                <w:bCs/>
                <w:color w:val="FFFFFF" w:themeColor="background1"/>
              </w:rPr>
              <w:t>2021</w:t>
            </w:r>
          </w:p>
        </w:tc>
      </w:tr>
      <w:tr w:rsidR="000765B1" w:rsidRPr="005F0DFB" w14:paraId="204C1ED6" w14:textId="77777777" w:rsidTr="00174965">
        <w:tc>
          <w:tcPr>
            <w:tcW w:w="5098" w:type="dxa"/>
          </w:tcPr>
          <w:p w14:paraId="24F23E35" w14:textId="77777777" w:rsidR="000765B1" w:rsidRPr="005F0DFB" w:rsidRDefault="000765B1" w:rsidP="00174965">
            <w:pPr>
              <w:spacing w:before="60" w:after="60"/>
              <w:rPr>
                <w:rFonts w:ascii="Arial" w:hAnsi="Arial" w:cs="Arial"/>
                <w:color w:val="404142"/>
              </w:rPr>
            </w:pPr>
            <w:r w:rsidRPr="005F0DFB">
              <w:rPr>
                <w:rFonts w:ascii="Arial" w:hAnsi="Arial" w:cs="Arial"/>
                <w:color w:val="404142"/>
              </w:rPr>
              <w:t>Lowest Group</w:t>
            </w:r>
          </w:p>
        </w:tc>
        <w:tc>
          <w:tcPr>
            <w:tcW w:w="3918" w:type="dxa"/>
          </w:tcPr>
          <w:p w14:paraId="7C493A3D" w14:textId="77777777" w:rsidR="000765B1" w:rsidRPr="005F0DFB" w:rsidRDefault="000765B1" w:rsidP="00174965">
            <w:pPr>
              <w:spacing w:before="60" w:after="60"/>
              <w:jc w:val="center"/>
              <w:rPr>
                <w:rFonts w:ascii="Arial" w:hAnsi="Arial" w:cs="Arial"/>
                <w:color w:val="404142"/>
              </w:rPr>
            </w:pPr>
            <w:r w:rsidRPr="005F0DFB">
              <w:rPr>
                <w:rFonts w:ascii="Arial" w:hAnsi="Arial" w:cs="Arial"/>
                <w:color w:val="404142"/>
              </w:rPr>
              <w:t>$0 to $886</w:t>
            </w:r>
          </w:p>
        </w:tc>
      </w:tr>
      <w:tr w:rsidR="000765B1" w:rsidRPr="005F0DFB" w14:paraId="0F75FDA4" w14:textId="77777777" w:rsidTr="00174965">
        <w:tc>
          <w:tcPr>
            <w:tcW w:w="5098" w:type="dxa"/>
          </w:tcPr>
          <w:p w14:paraId="2347C824" w14:textId="77777777" w:rsidR="000765B1" w:rsidRPr="005F0DFB" w:rsidRDefault="000765B1" w:rsidP="00174965">
            <w:pPr>
              <w:spacing w:before="60" w:after="60"/>
              <w:rPr>
                <w:rFonts w:ascii="Arial" w:hAnsi="Arial" w:cs="Arial"/>
                <w:color w:val="404142"/>
              </w:rPr>
            </w:pPr>
            <w:r w:rsidRPr="005F0DFB">
              <w:rPr>
                <w:rFonts w:ascii="Arial" w:hAnsi="Arial" w:cs="Arial"/>
                <w:color w:val="404142"/>
              </w:rPr>
              <w:t>Medium Lowest</w:t>
            </w:r>
          </w:p>
        </w:tc>
        <w:tc>
          <w:tcPr>
            <w:tcW w:w="3918" w:type="dxa"/>
          </w:tcPr>
          <w:p w14:paraId="13D5E319" w14:textId="77777777" w:rsidR="000765B1" w:rsidRPr="005F0DFB" w:rsidRDefault="000765B1" w:rsidP="00174965">
            <w:pPr>
              <w:spacing w:before="60" w:after="60"/>
              <w:jc w:val="center"/>
              <w:rPr>
                <w:rFonts w:ascii="Arial" w:hAnsi="Arial" w:cs="Arial"/>
                <w:color w:val="404142"/>
              </w:rPr>
            </w:pPr>
            <w:r w:rsidRPr="005F0DFB">
              <w:rPr>
                <w:rFonts w:ascii="Arial" w:hAnsi="Arial" w:cs="Arial"/>
                <w:color w:val="404142"/>
              </w:rPr>
              <w:t>$887 to $1,824</w:t>
            </w:r>
          </w:p>
        </w:tc>
      </w:tr>
      <w:tr w:rsidR="000765B1" w:rsidRPr="005F0DFB" w14:paraId="6AB379BB" w14:textId="77777777" w:rsidTr="00174965">
        <w:tc>
          <w:tcPr>
            <w:tcW w:w="5098" w:type="dxa"/>
          </w:tcPr>
          <w:p w14:paraId="3C9041F6" w14:textId="77777777" w:rsidR="000765B1" w:rsidRPr="005F0DFB" w:rsidRDefault="000765B1" w:rsidP="00174965">
            <w:pPr>
              <w:spacing w:before="60" w:after="60"/>
              <w:rPr>
                <w:rFonts w:ascii="Arial" w:hAnsi="Arial" w:cs="Arial"/>
                <w:color w:val="404142"/>
              </w:rPr>
            </w:pPr>
            <w:r w:rsidRPr="005F0DFB">
              <w:rPr>
                <w:rFonts w:ascii="Arial" w:hAnsi="Arial" w:cs="Arial"/>
                <w:color w:val="404142"/>
              </w:rPr>
              <w:t>Medium Highest</w:t>
            </w:r>
          </w:p>
        </w:tc>
        <w:tc>
          <w:tcPr>
            <w:tcW w:w="3918" w:type="dxa"/>
          </w:tcPr>
          <w:p w14:paraId="053F5BDA" w14:textId="77777777" w:rsidR="000765B1" w:rsidRPr="005F0DFB" w:rsidRDefault="000765B1" w:rsidP="00174965">
            <w:pPr>
              <w:spacing w:before="60" w:after="60"/>
              <w:jc w:val="center"/>
              <w:rPr>
                <w:rFonts w:ascii="Arial" w:hAnsi="Arial" w:cs="Arial"/>
                <w:color w:val="404142"/>
              </w:rPr>
            </w:pPr>
            <w:r w:rsidRPr="005F0DFB">
              <w:rPr>
                <w:rFonts w:ascii="Arial" w:hAnsi="Arial" w:cs="Arial"/>
                <w:color w:val="404142"/>
              </w:rPr>
              <w:t>$1,825 to $3,134</w:t>
            </w:r>
          </w:p>
        </w:tc>
      </w:tr>
      <w:tr w:rsidR="000765B1" w:rsidRPr="005F0DFB" w14:paraId="211F309C" w14:textId="77777777" w:rsidTr="00174965">
        <w:tc>
          <w:tcPr>
            <w:tcW w:w="5098" w:type="dxa"/>
          </w:tcPr>
          <w:p w14:paraId="0251FC57" w14:textId="77777777" w:rsidR="000765B1" w:rsidRPr="005F0DFB" w:rsidRDefault="000765B1" w:rsidP="00174965">
            <w:pPr>
              <w:spacing w:before="60" w:after="60"/>
              <w:rPr>
                <w:rFonts w:ascii="Arial" w:hAnsi="Arial" w:cs="Arial"/>
                <w:color w:val="404142"/>
              </w:rPr>
            </w:pPr>
            <w:r w:rsidRPr="005F0DFB">
              <w:rPr>
                <w:rFonts w:ascii="Arial" w:hAnsi="Arial" w:cs="Arial"/>
                <w:color w:val="404142"/>
              </w:rPr>
              <w:t>Highest</w:t>
            </w:r>
          </w:p>
        </w:tc>
        <w:tc>
          <w:tcPr>
            <w:tcW w:w="3918" w:type="dxa"/>
          </w:tcPr>
          <w:p w14:paraId="1E4A3D52" w14:textId="77777777" w:rsidR="000765B1" w:rsidRPr="005F0DFB" w:rsidRDefault="000765B1" w:rsidP="00174965">
            <w:pPr>
              <w:spacing w:before="60" w:after="60"/>
              <w:jc w:val="center"/>
              <w:rPr>
                <w:rFonts w:ascii="Arial" w:hAnsi="Arial" w:cs="Arial"/>
                <w:color w:val="404142"/>
              </w:rPr>
            </w:pPr>
            <w:r w:rsidRPr="005F0DFB">
              <w:rPr>
                <w:rFonts w:ascii="Arial" w:hAnsi="Arial" w:cs="Arial"/>
                <w:color w:val="404142"/>
              </w:rPr>
              <w:t>$3,135 and over</w:t>
            </w:r>
          </w:p>
        </w:tc>
      </w:tr>
    </w:tbl>
    <w:p w14:paraId="44989588" w14:textId="473DC8A3" w:rsidR="000765B1" w:rsidRPr="005F0DFB" w:rsidRDefault="000765B1" w:rsidP="000765B1">
      <w:pPr>
        <w:rPr>
          <w:rFonts w:ascii="Arial" w:hAnsi="Arial" w:cs="Arial"/>
        </w:rPr>
      </w:pPr>
      <w:r w:rsidRPr="005F0DFB">
        <w:rPr>
          <w:rFonts w:ascii="Arial" w:hAnsi="Arial" w:cs="Arial"/>
          <w:i/>
          <w:iCs/>
        </w:rPr>
        <w:t>Source:  Census Data</w:t>
      </w:r>
      <w:r>
        <w:rPr>
          <w:rFonts w:ascii="Arial" w:hAnsi="Arial" w:cs="Arial"/>
          <w:i/>
          <w:iCs/>
        </w:rPr>
        <w:t xml:space="preserve"> 2021</w:t>
      </w:r>
    </w:p>
    <w:p w14:paraId="2CAD5979" w14:textId="77777777" w:rsidR="000765B1" w:rsidRPr="005F0DFB" w:rsidRDefault="000765B1" w:rsidP="000765B1">
      <w:pPr>
        <w:rPr>
          <w:rFonts w:ascii="Arial" w:hAnsi="Arial" w:cs="Arial"/>
        </w:rPr>
      </w:pPr>
    </w:p>
    <w:p w14:paraId="333933E6" w14:textId="27F84683" w:rsidR="000765B1" w:rsidRDefault="000765B1" w:rsidP="00C21AF5">
      <w:pPr>
        <w:pStyle w:val="Heading1"/>
        <w:rPr>
          <w:rFonts w:ascii="Arial" w:hAnsi="Arial" w:cs="Arial"/>
          <w:b/>
          <w:bCs/>
          <w:sz w:val="22"/>
          <w:szCs w:val="22"/>
        </w:rPr>
      </w:pPr>
      <w:bookmarkStart w:id="13" w:name="_Toc156305353"/>
      <w:bookmarkStart w:id="14" w:name="_Toc156305598"/>
      <w:r w:rsidRPr="005F0DFB">
        <w:rPr>
          <w:rFonts w:ascii="Arial" w:hAnsi="Arial" w:cs="Arial"/>
          <w:noProof/>
          <w:sz w:val="22"/>
          <w:szCs w:val="22"/>
        </w:rPr>
        <w:lastRenderedPageBreak/>
        <w:drawing>
          <wp:inline distT="0" distB="0" distL="0" distR="0" wp14:anchorId="04E02F63" wp14:editId="2786A954">
            <wp:extent cx="5709684" cy="3413051"/>
            <wp:effectExtent l="0" t="0" r="5715" b="16510"/>
            <wp:docPr id="9193094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F0DFB">
        <w:rPr>
          <w:rFonts w:ascii="Arial" w:hAnsi="Arial" w:cs="Arial"/>
          <w:i/>
          <w:iCs/>
          <w:sz w:val="22"/>
          <w:szCs w:val="22"/>
        </w:rPr>
        <w:t>Source:  Census Data</w:t>
      </w:r>
      <w:r>
        <w:rPr>
          <w:rFonts w:ascii="Arial" w:hAnsi="Arial" w:cs="Arial"/>
          <w:i/>
          <w:iCs/>
          <w:sz w:val="22"/>
          <w:szCs w:val="22"/>
        </w:rPr>
        <w:t xml:space="preserve"> 2021</w:t>
      </w:r>
      <w:bookmarkEnd w:id="13"/>
      <w:bookmarkEnd w:id="14"/>
    </w:p>
    <w:p w14:paraId="5430B3AA" w14:textId="503242CB" w:rsidR="00B9576B" w:rsidRPr="00C21AF5" w:rsidRDefault="00B9576B" w:rsidP="00C21AF5">
      <w:pPr>
        <w:pStyle w:val="Heading1"/>
        <w:rPr>
          <w:rFonts w:ascii="Arial" w:hAnsi="Arial" w:cs="Arial"/>
          <w:b/>
          <w:bCs/>
          <w:sz w:val="22"/>
          <w:szCs w:val="22"/>
        </w:rPr>
      </w:pPr>
      <w:bookmarkStart w:id="15" w:name="_Toc156305599"/>
      <w:r w:rsidRPr="00C21AF5">
        <w:rPr>
          <w:rFonts w:ascii="Arial" w:hAnsi="Arial" w:cs="Arial"/>
          <w:b/>
          <w:bCs/>
          <w:sz w:val="22"/>
          <w:szCs w:val="22"/>
        </w:rPr>
        <w:t>Vulnerable Groups or Individuals</w:t>
      </w:r>
      <w:bookmarkEnd w:id="15"/>
    </w:p>
    <w:tbl>
      <w:tblPr>
        <w:tblStyle w:val="TableGrid"/>
        <w:tblW w:w="0" w:type="auto"/>
        <w:tblLook w:val="04A0" w:firstRow="1" w:lastRow="0" w:firstColumn="1" w:lastColumn="0" w:noHBand="0" w:noVBand="1"/>
      </w:tblPr>
      <w:tblGrid>
        <w:gridCol w:w="2534"/>
        <w:gridCol w:w="2990"/>
        <w:gridCol w:w="1701"/>
        <w:gridCol w:w="1791"/>
      </w:tblGrid>
      <w:tr w:rsidR="00C21AF5" w:rsidRPr="00C21AF5" w14:paraId="31E72C74" w14:textId="77777777" w:rsidTr="00BF6F45">
        <w:tc>
          <w:tcPr>
            <w:tcW w:w="2534" w:type="dxa"/>
            <w:shd w:val="clear" w:color="auto" w:fill="002060"/>
          </w:tcPr>
          <w:p w14:paraId="6F1FAEDF" w14:textId="6F07F187" w:rsidR="00BF6F45" w:rsidRPr="00C21AF5" w:rsidRDefault="00BF6F45" w:rsidP="0059724A">
            <w:pPr>
              <w:spacing w:before="60" w:after="60"/>
              <w:jc w:val="center"/>
              <w:rPr>
                <w:rFonts w:ascii="Arial" w:hAnsi="Arial" w:cs="Arial"/>
                <w:b/>
                <w:bCs/>
              </w:rPr>
            </w:pPr>
            <w:r w:rsidRPr="00C21AF5">
              <w:rPr>
                <w:rFonts w:ascii="Arial" w:hAnsi="Arial" w:cs="Arial"/>
                <w:b/>
                <w:bCs/>
              </w:rPr>
              <w:t>Status</w:t>
            </w:r>
          </w:p>
        </w:tc>
        <w:tc>
          <w:tcPr>
            <w:tcW w:w="2990" w:type="dxa"/>
            <w:shd w:val="clear" w:color="auto" w:fill="002060"/>
          </w:tcPr>
          <w:p w14:paraId="2D8495FA" w14:textId="143D66F1" w:rsidR="00BF6F45" w:rsidRPr="00C21AF5" w:rsidRDefault="000E3A77" w:rsidP="0059724A">
            <w:pPr>
              <w:spacing w:before="60" w:after="60"/>
              <w:jc w:val="center"/>
              <w:rPr>
                <w:rFonts w:ascii="Arial" w:hAnsi="Arial" w:cs="Arial"/>
                <w:b/>
                <w:bCs/>
              </w:rPr>
            </w:pPr>
            <w:r>
              <w:rPr>
                <w:rFonts w:ascii="Arial" w:hAnsi="Arial" w:cs="Arial"/>
                <w:b/>
                <w:bCs/>
              </w:rPr>
              <w:t>SVC</w:t>
            </w:r>
          </w:p>
        </w:tc>
        <w:tc>
          <w:tcPr>
            <w:tcW w:w="1701" w:type="dxa"/>
            <w:shd w:val="clear" w:color="auto" w:fill="002060"/>
          </w:tcPr>
          <w:p w14:paraId="26CC568D" w14:textId="523BD8CC" w:rsidR="00BF6F45" w:rsidRPr="00C21AF5" w:rsidRDefault="00BF6F45" w:rsidP="0059724A">
            <w:pPr>
              <w:spacing w:before="60" w:after="60"/>
              <w:jc w:val="center"/>
              <w:rPr>
                <w:rFonts w:ascii="Arial" w:hAnsi="Arial" w:cs="Arial"/>
                <w:b/>
                <w:bCs/>
              </w:rPr>
            </w:pPr>
            <w:r w:rsidRPr="00C21AF5">
              <w:rPr>
                <w:rFonts w:ascii="Arial" w:hAnsi="Arial" w:cs="Arial"/>
                <w:b/>
                <w:bCs/>
              </w:rPr>
              <w:t>%</w:t>
            </w:r>
          </w:p>
        </w:tc>
        <w:tc>
          <w:tcPr>
            <w:tcW w:w="1791" w:type="dxa"/>
            <w:shd w:val="clear" w:color="auto" w:fill="002060"/>
          </w:tcPr>
          <w:p w14:paraId="3BC69054" w14:textId="447710CD" w:rsidR="00BF6F45" w:rsidRPr="00C21AF5" w:rsidRDefault="00BF6F45" w:rsidP="0059724A">
            <w:pPr>
              <w:spacing w:before="60" w:after="60"/>
              <w:jc w:val="center"/>
              <w:rPr>
                <w:rFonts w:ascii="Arial" w:hAnsi="Arial" w:cs="Arial"/>
                <w:b/>
                <w:bCs/>
              </w:rPr>
            </w:pPr>
            <w:r w:rsidRPr="00C21AF5">
              <w:rPr>
                <w:rFonts w:ascii="Arial" w:hAnsi="Arial" w:cs="Arial"/>
                <w:b/>
                <w:bCs/>
              </w:rPr>
              <w:t>Regional NSW</w:t>
            </w:r>
          </w:p>
        </w:tc>
      </w:tr>
      <w:tr w:rsidR="00C21AF5" w:rsidRPr="00C21AF5" w14:paraId="228404B1" w14:textId="77777777" w:rsidTr="00245AF2">
        <w:tc>
          <w:tcPr>
            <w:tcW w:w="2534" w:type="dxa"/>
            <w:shd w:val="clear" w:color="auto" w:fill="D9E2F3" w:themeFill="accent1" w:themeFillTint="33"/>
          </w:tcPr>
          <w:p w14:paraId="0CA13C54" w14:textId="055BA812" w:rsidR="00BF6F45" w:rsidRPr="00C21AF5" w:rsidRDefault="00BF6F45" w:rsidP="0059724A">
            <w:pPr>
              <w:spacing w:before="60" w:after="60"/>
              <w:rPr>
                <w:rFonts w:ascii="Arial" w:hAnsi="Arial" w:cs="Arial"/>
                <w:b/>
                <w:bCs/>
              </w:rPr>
            </w:pPr>
            <w:r w:rsidRPr="00C21AF5">
              <w:rPr>
                <w:rFonts w:ascii="Arial" w:hAnsi="Arial" w:cs="Arial"/>
                <w:b/>
                <w:bCs/>
              </w:rPr>
              <w:t>Employed</w:t>
            </w:r>
          </w:p>
        </w:tc>
        <w:tc>
          <w:tcPr>
            <w:tcW w:w="2990" w:type="dxa"/>
            <w:shd w:val="clear" w:color="auto" w:fill="D9E2F3" w:themeFill="accent1" w:themeFillTint="33"/>
          </w:tcPr>
          <w:p w14:paraId="2094225B" w14:textId="166A0418" w:rsidR="00BF6F45" w:rsidRPr="00C21AF5" w:rsidRDefault="00BF6F45" w:rsidP="00513444">
            <w:pPr>
              <w:spacing w:before="60" w:after="60"/>
              <w:jc w:val="center"/>
              <w:rPr>
                <w:rFonts w:ascii="Arial" w:hAnsi="Arial" w:cs="Arial"/>
                <w:b/>
                <w:bCs/>
              </w:rPr>
            </w:pPr>
            <w:r w:rsidRPr="00C21AF5">
              <w:rPr>
                <w:rFonts w:ascii="Arial" w:hAnsi="Arial" w:cs="Arial"/>
                <w:b/>
                <w:bCs/>
              </w:rPr>
              <w:t>6547</w:t>
            </w:r>
          </w:p>
        </w:tc>
        <w:tc>
          <w:tcPr>
            <w:tcW w:w="1701" w:type="dxa"/>
            <w:shd w:val="clear" w:color="auto" w:fill="D9E2F3" w:themeFill="accent1" w:themeFillTint="33"/>
          </w:tcPr>
          <w:p w14:paraId="7963DCD9" w14:textId="2AE779E3" w:rsidR="00BF6F45" w:rsidRPr="00C21AF5" w:rsidRDefault="00245AF2" w:rsidP="00513444">
            <w:pPr>
              <w:spacing w:before="60" w:after="60"/>
              <w:jc w:val="center"/>
              <w:rPr>
                <w:rFonts w:ascii="Arial" w:hAnsi="Arial" w:cs="Arial"/>
                <w:b/>
                <w:bCs/>
              </w:rPr>
            </w:pPr>
            <w:r w:rsidRPr="00C21AF5">
              <w:rPr>
                <w:rFonts w:ascii="Arial" w:hAnsi="Arial" w:cs="Arial"/>
                <w:b/>
                <w:bCs/>
              </w:rPr>
              <w:t>95.8</w:t>
            </w:r>
          </w:p>
        </w:tc>
        <w:tc>
          <w:tcPr>
            <w:tcW w:w="1791" w:type="dxa"/>
            <w:shd w:val="clear" w:color="auto" w:fill="D9E2F3" w:themeFill="accent1" w:themeFillTint="33"/>
          </w:tcPr>
          <w:p w14:paraId="303A9744" w14:textId="15622DFC" w:rsidR="00BF6F45" w:rsidRPr="00C21AF5" w:rsidRDefault="00245AF2" w:rsidP="00513444">
            <w:pPr>
              <w:spacing w:before="60" w:after="60"/>
              <w:jc w:val="center"/>
              <w:rPr>
                <w:rFonts w:ascii="Arial" w:hAnsi="Arial" w:cs="Arial"/>
                <w:b/>
                <w:bCs/>
              </w:rPr>
            </w:pPr>
            <w:r w:rsidRPr="00C21AF5">
              <w:rPr>
                <w:rFonts w:ascii="Arial" w:hAnsi="Arial" w:cs="Arial"/>
                <w:b/>
                <w:bCs/>
              </w:rPr>
              <w:t>95.4</w:t>
            </w:r>
          </w:p>
        </w:tc>
      </w:tr>
      <w:tr w:rsidR="00C21AF5" w:rsidRPr="00C21AF5" w14:paraId="454821E0" w14:textId="77777777" w:rsidTr="00BF6F45">
        <w:tc>
          <w:tcPr>
            <w:tcW w:w="2534" w:type="dxa"/>
          </w:tcPr>
          <w:p w14:paraId="3DB4CC7F" w14:textId="6743E4DA" w:rsidR="00BF6F45" w:rsidRPr="00C21AF5" w:rsidRDefault="00BF6F45" w:rsidP="0059724A">
            <w:pPr>
              <w:spacing w:before="60" w:after="60"/>
              <w:rPr>
                <w:rFonts w:ascii="Arial" w:hAnsi="Arial" w:cs="Arial"/>
              </w:rPr>
            </w:pPr>
            <w:r w:rsidRPr="00C21AF5">
              <w:rPr>
                <w:rFonts w:ascii="Arial" w:hAnsi="Arial" w:cs="Arial"/>
              </w:rPr>
              <w:t xml:space="preserve">  Employed Full Time</w:t>
            </w:r>
          </w:p>
        </w:tc>
        <w:tc>
          <w:tcPr>
            <w:tcW w:w="2990" w:type="dxa"/>
          </w:tcPr>
          <w:p w14:paraId="5C1607F1" w14:textId="7C2BDA91" w:rsidR="00BF6F45" w:rsidRPr="00C21AF5" w:rsidRDefault="00245AF2" w:rsidP="00513444">
            <w:pPr>
              <w:spacing w:before="60" w:after="60"/>
              <w:jc w:val="center"/>
              <w:rPr>
                <w:rFonts w:ascii="Arial" w:hAnsi="Arial" w:cs="Arial"/>
              </w:rPr>
            </w:pPr>
            <w:r w:rsidRPr="00C21AF5">
              <w:rPr>
                <w:rFonts w:ascii="Arial" w:hAnsi="Arial" w:cs="Arial"/>
              </w:rPr>
              <w:t>3960</w:t>
            </w:r>
          </w:p>
        </w:tc>
        <w:tc>
          <w:tcPr>
            <w:tcW w:w="1701" w:type="dxa"/>
          </w:tcPr>
          <w:p w14:paraId="6A1AAD27" w14:textId="7F6FEE4B" w:rsidR="00BF6F45" w:rsidRPr="00C21AF5" w:rsidRDefault="00245AF2" w:rsidP="00513444">
            <w:pPr>
              <w:spacing w:before="60" w:after="60"/>
              <w:jc w:val="center"/>
              <w:rPr>
                <w:rFonts w:ascii="Arial" w:hAnsi="Arial" w:cs="Arial"/>
              </w:rPr>
            </w:pPr>
            <w:r w:rsidRPr="00C21AF5">
              <w:rPr>
                <w:rFonts w:ascii="Arial" w:hAnsi="Arial" w:cs="Arial"/>
              </w:rPr>
              <w:t>57.9</w:t>
            </w:r>
          </w:p>
        </w:tc>
        <w:tc>
          <w:tcPr>
            <w:tcW w:w="1791" w:type="dxa"/>
          </w:tcPr>
          <w:p w14:paraId="09B58BA0" w14:textId="5405523C" w:rsidR="00BF6F45" w:rsidRPr="00C21AF5" w:rsidRDefault="00245AF2" w:rsidP="00513444">
            <w:pPr>
              <w:spacing w:before="60" w:after="60"/>
              <w:jc w:val="center"/>
              <w:rPr>
                <w:rFonts w:ascii="Arial" w:hAnsi="Arial" w:cs="Arial"/>
              </w:rPr>
            </w:pPr>
            <w:r w:rsidRPr="00C21AF5">
              <w:rPr>
                <w:rFonts w:ascii="Arial" w:hAnsi="Arial" w:cs="Arial"/>
              </w:rPr>
              <w:t>54.5</w:t>
            </w:r>
          </w:p>
        </w:tc>
      </w:tr>
      <w:tr w:rsidR="00C21AF5" w:rsidRPr="00C21AF5" w14:paraId="6872A299" w14:textId="77777777" w:rsidTr="00BF6F45">
        <w:tc>
          <w:tcPr>
            <w:tcW w:w="2534" w:type="dxa"/>
          </w:tcPr>
          <w:p w14:paraId="7B487001" w14:textId="0DCEEABC" w:rsidR="00BF6F45" w:rsidRPr="00C21AF5" w:rsidRDefault="00BF6F45" w:rsidP="0059724A">
            <w:pPr>
              <w:spacing w:before="60" w:after="60"/>
              <w:rPr>
                <w:rFonts w:ascii="Arial" w:hAnsi="Arial" w:cs="Arial"/>
              </w:rPr>
            </w:pPr>
            <w:r w:rsidRPr="00C21AF5">
              <w:rPr>
                <w:rFonts w:ascii="Arial" w:hAnsi="Arial" w:cs="Arial"/>
              </w:rPr>
              <w:t xml:space="preserve">  Employed Part Time</w:t>
            </w:r>
          </w:p>
        </w:tc>
        <w:tc>
          <w:tcPr>
            <w:tcW w:w="2990" w:type="dxa"/>
          </w:tcPr>
          <w:p w14:paraId="24FDCA34" w14:textId="396CE250" w:rsidR="00BF6F45" w:rsidRPr="00C21AF5" w:rsidRDefault="00245AF2" w:rsidP="00513444">
            <w:pPr>
              <w:spacing w:before="60" w:after="60"/>
              <w:jc w:val="center"/>
              <w:rPr>
                <w:rFonts w:ascii="Arial" w:hAnsi="Arial" w:cs="Arial"/>
              </w:rPr>
            </w:pPr>
            <w:r w:rsidRPr="00C21AF5">
              <w:rPr>
                <w:rFonts w:ascii="Arial" w:hAnsi="Arial" w:cs="Arial"/>
              </w:rPr>
              <w:t>2133</w:t>
            </w:r>
          </w:p>
        </w:tc>
        <w:tc>
          <w:tcPr>
            <w:tcW w:w="1701" w:type="dxa"/>
          </w:tcPr>
          <w:p w14:paraId="4BC633B3" w14:textId="3C570066" w:rsidR="00BF6F45" w:rsidRPr="00C21AF5" w:rsidRDefault="00245AF2" w:rsidP="00513444">
            <w:pPr>
              <w:spacing w:before="60" w:after="60"/>
              <w:jc w:val="center"/>
              <w:rPr>
                <w:rFonts w:ascii="Arial" w:hAnsi="Arial" w:cs="Arial"/>
              </w:rPr>
            </w:pPr>
            <w:r w:rsidRPr="00C21AF5">
              <w:rPr>
                <w:rFonts w:ascii="Arial" w:hAnsi="Arial" w:cs="Arial"/>
              </w:rPr>
              <w:t>31.2</w:t>
            </w:r>
          </w:p>
        </w:tc>
        <w:tc>
          <w:tcPr>
            <w:tcW w:w="1791" w:type="dxa"/>
          </w:tcPr>
          <w:p w14:paraId="205D9181" w14:textId="6B30AA40" w:rsidR="00BF6F45" w:rsidRPr="00C21AF5" w:rsidRDefault="00245AF2" w:rsidP="00513444">
            <w:pPr>
              <w:spacing w:before="60" w:after="60"/>
              <w:jc w:val="center"/>
              <w:rPr>
                <w:rFonts w:ascii="Arial" w:hAnsi="Arial" w:cs="Arial"/>
              </w:rPr>
            </w:pPr>
            <w:r w:rsidRPr="00C21AF5">
              <w:rPr>
                <w:rFonts w:ascii="Arial" w:hAnsi="Arial" w:cs="Arial"/>
              </w:rPr>
              <w:t>33.7</w:t>
            </w:r>
          </w:p>
        </w:tc>
      </w:tr>
      <w:tr w:rsidR="00C21AF5" w:rsidRPr="00C21AF5" w14:paraId="0C232A40" w14:textId="77777777" w:rsidTr="00BF6F45">
        <w:tc>
          <w:tcPr>
            <w:tcW w:w="2534" w:type="dxa"/>
          </w:tcPr>
          <w:p w14:paraId="3D1408AB" w14:textId="77777777" w:rsidR="00245AF2" w:rsidRPr="00C21AF5" w:rsidRDefault="00BF6F45" w:rsidP="0059724A">
            <w:pPr>
              <w:spacing w:before="60" w:after="60"/>
              <w:rPr>
                <w:rFonts w:ascii="Arial" w:hAnsi="Arial" w:cs="Arial"/>
              </w:rPr>
            </w:pPr>
            <w:r w:rsidRPr="00C21AF5">
              <w:rPr>
                <w:rFonts w:ascii="Arial" w:hAnsi="Arial" w:cs="Arial"/>
              </w:rPr>
              <w:t xml:space="preserve">  Employed away from </w:t>
            </w:r>
          </w:p>
          <w:p w14:paraId="10D4A46C" w14:textId="449D6BED" w:rsidR="00BF6F45" w:rsidRPr="00C21AF5" w:rsidRDefault="00245AF2" w:rsidP="0059724A">
            <w:pPr>
              <w:spacing w:before="60" w:after="60"/>
              <w:rPr>
                <w:rFonts w:ascii="Arial" w:hAnsi="Arial" w:cs="Arial"/>
              </w:rPr>
            </w:pPr>
            <w:r w:rsidRPr="00C21AF5">
              <w:rPr>
                <w:rFonts w:ascii="Arial" w:hAnsi="Arial" w:cs="Arial"/>
              </w:rPr>
              <w:t xml:space="preserve">  </w:t>
            </w:r>
            <w:r w:rsidR="00BF6F45" w:rsidRPr="00C21AF5">
              <w:rPr>
                <w:rFonts w:ascii="Arial" w:hAnsi="Arial" w:cs="Arial"/>
              </w:rPr>
              <w:t xml:space="preserve">work </w:t>
            </w:r>
          </w:p>
        </w:tc>
        <w:tc>
          <w:tcPr>
            <w:tcW w:w="2990" w:type="dxa"/>
          </w:tcPr>
          <w:p w14:paraId="48B478BC" w14:textId="2132F7CC" w:rsidR="00BF6F45" w:rsidRPr="00C21AF5" w:rsidRDefault="00245AF2" w:rsidP="00513444">
            <w:pPr>
              <w:spacing w:before="60" w:after="60"/>
              <w:jc w:val="center"/>
              <w:rPr>
                <w:rFonts w:ascii="Arial" w:hAnsi="Arial" w:cs="Arial"/>
              </w:rPr>
            </w:pPr>
            <w:r w:rsidRPr="00C21AF5">
              <w:rPr>
                <w:rFonts w:ascii="Arial" w:hAnsi="Arial" w:cs="Arial"/>
              </w:rPr>
              <w:t>454</w:t>
            </w:r>
          </w:p>
        </w:tc>
        <w:tc>
          <w:tcPr>
            <w:tcW w:w="1701" w:type="dxa"/>
          </w:tcPr>
          <w:p w14:paraId="3B0001D9" w14:textId="2F0A666B" w:rsidR="00BF6F45" w:rsidRPr="00C21AF5" w:rsidRDefault="00245AF2" w:rsidP="00513444">
            <w:pPr>
              <w:spacing w:before="60" w:after="60"/>
              <w:jc w:val="center"/>
              <w:rPr>
                <w:rFonts w:ascii="Arial" w:hAnsi="Arial" w:cs="Arial"/>
              </w:rPr>
            </w:pPr>
            <w:r w:rsidRPr="00C21AF5">
              <w:rPr>
                <w:rFonts w:ascii="Arial" w:hAnsi="Arial" w:cs="Arial"/>
              </w:rPr>
              <w:t>6.6</w:t>
            </w:r>
          </w:p>
        </w:tc>
        <w:tc>
          <w:tcPr>
            <w:tcW w:w="1791" w:type="dxa"/>
          </w:tcPr>
          <w:p w14:paraId="68614AD1" w14:textId="45004D04" w:rsidR="00BF6F45" w:rsidRPr="00C21AF5" w:rsidRDefault="00245AF2" w:rsidP="00513444">
            <w:pPr>
              <w:spacing w:before="60" w:after="60"/>
              <w:jc w:val="center"/>
              <w:rPr>
                <w:rFonts w:ascii="Arial" w:hAnsi="Arial" w:cs="Arial"/>
              </w:rPr>
            </w:pPr>
            <w:r w:rsidRPr="00C21AF5">
              <w:rPr>
                <w:rFonts w:ascii="Arial" w:hAnsi="Arial" w:cs="Arial"/>
              </w:rPr>
              <w:t>7.3</w:t>
            </w:r>
          </w:p>
        </w:tc>
      </w:tr>
      <w:tr w:rsidR="00C21AF5" w:rsidRPr="00C21AF5" w14:paraId="0A7D7140" w14:textId="77777777" w:rsidTr="00245AF2">
        <w:tc>
          <w:tcPr>
            <w:tcW w:w="2534" w:type="dxa"/>
            <w:shd w:val="clear" w:color="auto" w:fill="D9E2F3" w:themeFill="accent1" w:themeFillTint="33"/>
          </w:tcPr>
          <w:p w14:paraId="666EDE3D" w14:textId="437C6F23" w:rsidR="00BF6F45" w:rsidRPr="00C21AF5" w:rsidRDefault="00BF6F45" w:rsidP="0059724A">
            <w:pPr>
              <w:spacing w:before="60" w:after="60"/>
              <w:rPr>
                <w:rFonts w:ascii="Arial" w:hAnsi="Arial" w:cs="Arial"/>
                <w:b/>
                <w:bCs/>
              </w:rPr>
            </w:pPr>
            <w:r w:rsidRPr="00C21AF5">
              <w:rPr>
                <w:rFonts w:ascii="Arial" w:hAnsi="Arial" w:cs="Arial"/>
                <w:b/>
                <w:bCs/>
              </w:rPr>
              <w:t>Unemployed</w:t>
            </w:r>
          </w:p>
        </w:tc>
        <w:tc>
          <w:tcPr>
            <w:tcW w:w="2990" w:type="dxa"/>
            <w:shd w:val="clear" w:color="auto" w:fill="D9E2F3" w:themeFill="accent1" w:themeFillTint="33"/>
          </w:tcPr>
          <w:p w14:paraId="4650C292" w14:textId="792D90A1" w:rsidR="00BF6F45" w:rsidRPr="00C21AF5" w:rsidRDefault="00245AF2" w:rsidP="00513444">
            <w:pPr>
              <w:spacing w:before="60" w:after="60"/>
              <w:jc w:val="center"/>
              <w:rPr>
                <w:rFonts w:ascii="Arial" w:hAnsi="Arial" w:cs="Arial"/>
                <w:b/>
                <w:bCs/>
              </w:rPr>
            </w:pPr>
            <w:r w:rsidRPr="00C21AF5">
              <w:rPr>
                <w:rFonts w:ascii="Arial" w:hAnsi="Arial" w:cs="Arial"/>
                <w:b/>
                <w:bCs/>
              </w:rPr>
              <w:t>289</w:t>
            </w:r>
          </w:p>
        </w:tc>
        <w:tc>
          <w:tcPr>
            <w:tcW w:w="1701" w:type="dxa"/>
            <w:shd w:val="clear" w:color="auto" w:fill="D9E2F3" w:themeFill="accent1" w:themeFillTint="33"/>
          </w:tcPr>
          <w:p w14:paraId="47E0B7D7" w14:textId="57E7F365" w:rsidR="00BF6F45" w:rsidRPr="00C21AF5" w:rsidRDefault="00245AF2" w:rsidP="00513444">
            <w:pPr>
              <w:spacing w:before="60" w:after="60"/>
              <w:jc w:val="center"/>
              <w:rPr>
                <w:rFonts w:ascii="Arial" w:hAnsi="Arial" w:cs="Arial"/>
                <w:b/>
                <w:bCs/>
              </w:rPr>
            </w:pPr>
            <w:r w:rsidRPr="00C21AF5">
              <w:rPr>
                <w:rFonts w:ascii="Arial" w:hAnsi="Arial" w:cs="Arial"/>
                <w:b/>
                <w:bCs/>
              </w:rPr>
              <w:t>4.2</w:t>
            </w:r>
          </w:p>
        </w:tc>
        <w:tc>
          <w:tcPr>
            <w:tcW w:w="1791" w:type="dxa"/>
            <w:shd w:val="clear" w:color="auto" w:fill="D9E2F3" w:themeFill="accent1" w:themeFillTint="33"/>
          </w:tcPr>
          <w:p w14:paraId="30721444" w14:textId="049BE323" w:rsidR="00BF6F45" w:rsidRPr="00C21AF5" w:rsidRDefault="00245AF2" w:rsidP="00513444">
            <w:pPr>
              <w:spacing w:before="60" w:after="60"/>
              <w:jc w:val="center"/>
              <w:rPr>
                <w:rFonts w:ascii="Arial" w:hAnsi="Arial" w:cs="Arial"/>
                <w:b/>
                <w:bCs/>
              </w:rPr>
            </w:pPr>
            <w:r w:rsidRPr="00C21AF5">
              <w:rPr>
                <w:rFonts w:ascii="Arial" w:hAnsi="Arial" w:cs="Arial"/>
                <w:b/>
                <w:bCs/>
              </w:rPr>
              <w:t>4.6</w:t>
            </w:r>
          </w:p>
        </w:tc>
      </w:tr>
      <w:tr w:rsidR="00C21AF5" w:rsidRPr="00C21AF5" w14:paraId="4161953F" w14:textId="77777777" w:rsidTr="00BF6F45">
        <w:tc>
          <w:tcPr>
            <w:tcW w:w="2534" w:type="dxa"/>
          </w:tcPr>
          <w:p w14:paraId="15D8187C" w14:textId="77777777" w:rsidR="00245AF2" w:rsidRPr="00C21AF5" w:rsidRDefault="00BF6F45" w:rsidP="0059724A">
            <w:pPr>
              <w:spacing w:before="60" w:after="60"/>
              <w:rPr>
                <w:rFonts w:ascii="Arial" w:hAnsi="Arial" w:cs="Arial"/>
              </w:rPr>
            </w:pPr>
            <w:r w:rsidRPr="00C21AF5">
              <w:rPr>
                <w:rFonts w:ascii="Arial" w:hAnsi="Arial" w:cs="Arial"/>
              </w:rPr>
              <w:t xml:space="preserve">  Looking for full time </w:t>
            </w:r>
          </w:p>
          <w:p w14:paraId="74C8DDF0" w14:textId="328B269C" w:rsidR="00BF6F45" w:rsidRPr="00C21AF5" w:rsidRDefault="00245AF2" w:rsidP="0059724A">
            <w:pPr>
              <w:spacing w:before="60" w:after="60"/>
              <w:rPr>
                <w:rFonts w:ascii="Arial" w:hAnsi="Arial" w:cs="Arial"/>
              </w:rPr>
            </w:pPr>
            <w:r w:rsidRPr="00C21AF5">
              <w:rPr>
                <w:rFonts w:ascii="Arial" w:hAnsi="Arial" w:cs="Arial"/>
              </w:rPr>
              <w:t xml:space="preserve">  </w:t>
            </w:r>
            <w:r w:rsidR="00BF6F45" w:rsidRPr="00C21AF5">
              <w:rPr>
                <w:rFonts w:ascii="Arial" w:hAnsi="Arial" w:cs="Arial"/>
              </w:rPr>
              <w:t>work</w:t>
            </w:r>
          </w:p>
        </w:tc>
        <w:tc>
          <w:tcPr>
            <w:tcW w:w="2990" w:type="dxa"/>
          </w:tcPr>
          <w:p w14:paraId="58F72D48" w14:textId="1A796188" w:rsidR="00BF6F45" w:rsidRPr="00C21AF5" w:rsidRDefault="00245AF2" w:rsidP="00513444">
            <w:pPr>
              <w:spacing w:before="60" w:after="60"/>
              <w:jc w:val="center"/>
              <w:rPr>
                <w:rFonts w:ascii="Arial" w:hAnsi="Arial" w:cs="Arial"/>
              </w:rPr>
            </w:pPr>
            <w:r w:rsidRPr="00C21AF5">
              <w:rPr>
                <w:rFonts w:ascii="Arial" w:hAnsi="Arial" w:cs="Arial"/>
              </w:rPr>
              <w:t>177</w:t>
            </w:r>
          </w:p>
        </w:tc>
        <w:tc>
          <w:tcPr>
            <w:tcW w:w="1701" w:type="dxa"/>
          </w:tcPr>
          <w:p w14:paraId="09BDDBCE" w14:textId="5EB70087" w:rsidR="00BF6F45" w:rsidRPr="00C21AF5" w:rsidRDefault="00245AF2" w:rsidP="00513444">
            <w:pPr>
              <w:spacing w:before="60" w:after="60"/>
              <w:jc w:val="center"/>
              <w:rPr>
                <w:rFonts w:ascii="Arial" w:hAnsi="Arial" w:cs="Arial"/>
              </w:rPr>
            </w:pPr>
            <w:r w:rsidRPr="00C21AF5">
              <w:rPr>
                <w:rFonts w:ascii="Arial" w:hAnsi="Arial" w:cs="Arial"/>
              </w:rPr>
              <w:t>2.6</w:t>
            </w:r>
          </w:p>
        </w:tc>
        <w:tc>
          <w:tcPr>
            <w:tcW w:w="1791" w:type="dxa"/>
          </w:tcPr>
          <w:p w14:paraId="60F87545" w14:textId="16F45E32" w:rsidR="00BF6F45" w:rsidRPr="00C21AF5" w:rsidRDefault="00245AF2" w:rsidP="00513444">
            <w:pPr>
              <w:spacing w:before="60" w:after="60"/>
              <w:jc w:val="center"/>
              <w:rPr>
                <w:rFonts w:ascii="Arial" w:hAnsi="Arial" w:cs="Arial"/>
              </w:rPr>
            </w:pPr>
            <w:r w:rsidRPr="00C21AF5">
              <w:rPr>
                <w:rFonts w:ascii="Arial" w:hAnsi="Arial" w:cs="Arial"/>
              </w:rPr>
              <w:t>2.5</w:t>
            </w:r>
          </w:p>
        </w:tc>
      </w:tr>
      <w:tr w:rsidR="00C21AF5" w:rsidRPr="00C21AF5" w14:paraId="45A91703" w14:textId="77777777" w:rsidTr="00BF6F45">
        <w:tc>
          <w:tcPr>
            <w:tcW w:w="2534" w:type="dxa"/>
          </w:tcPr>
          <w:p w14:paraId="1D5F4DD0" w14:textId="77777777" w:rsidR="00245AF2" w:rsidRPr="00C21AF5" w:rsidRDefault="00BF6F45" w:rsidP="0059724A">
            <w:pPr>
              <w:spacing w:before="60" w:after="60"/>
              <w:rPr>
                <w:rFonts w:ascii="Arial" w:hAnsi="Arial" w:cs="Arial"/>
              </w:rPr>
            </w:pPr>
            <w:r w:rsidRPr="00C21AF5">
              <w:rPr>
                <w:rFonts w:ascii="Arial" w:hAnsi="Arial" w:cs="Arial"/>
              </w:rPr>
              <w:t xml:space="preserve">  Looking for part time </w:t>
            </w:r>
          </w:p>
          <w:p w14:paraId="79EBFD7E" w14:textId="6076533F" w:rsidR="00BF6F45" w:rsidRPr="00C21AF5" w:rsidRDefault="00245AF2" w:rsidP="0059724A">
            <w:pPr>
              <w:spacing w:before="60" w:after="60"/>
              <w:rPr>
                <w:rFonts w:ascii="Arial" w:hAnsi="Arial" w:cs="Arial"/>
              </w:rPr>
            </w:pPr>
            <w:r w:rsidRPr="00C21AF5">
              <w:rPr>
                <w:rFonts w:ascii="Arial" w:hAnsi="Arial" w:cs="Arial"/>
              </w:rPr>
              <w:t xml:space="preserve">  </w:t>
            </w:r>
            <w:r w:rsidR="00BF6F45" w:rsidRPr="00C21AF5">
              <w:rPr>
                <w:rFonts w:ascii="Arial" w:hAnsi="Arial" w:cs="Arial"/>
              </w:rPr>
              <w:t>work</w:t>
            </w:r>
          </w:p>
        </w:tc>
        <w:tc>
          <w:tcPr>
            <w:tcW w:w="2990" w:type="dxa"/>
          </w:tcPr>
          <w:p w14:paraId="6D68CD99" w14:textId="2B8B9C5B" w:rsidR="00BF6F45" w:rsidRPr="00C21AF5" w:rsidRDefault="00245AF2" w:rsidP="00513444">
            <w:pPr>
              <w:spacing w:before="60" w:after="60"/>
              <w:jc w:val="center"/>
              <w:rPr>
                <w:rFonts w:ascii="Arial" w:hAnsi="Arial" w:cs="Arial"/>
              </w:rPr>
            </w:pPr>
            <w:r w:rsidRPr="00C21AF5">
              <w:rPr>
                <w:rFonts w:ascii="Arial" w:hAnsi="Arial" w:cs="Arial"/>
              </w:rPr>
              <w:t>112</w:t>
            </w:r>
          </w:p>
        </w:tc>
        <w:tc>
          <w:tcPr>
            <w:tcW w:w="1701" w:type="dxa"/>
          </w:tcPr>
          <w:p w14:paraId="2A134C4F" w14:textId="010F9BB5" w:rsidR="00BF6F45" w:rsidRPr="00C21AF5" w:rsidRDefault="00245AF2" w:rsidP="00513444">
            <w:pPr>
              <w:spacing w:before="60" w:after="60"/>
              <w:jc w:val="center"/>
              <w:rPr>
                <w:rFonts w:ascii="Arial" w:hAnsi="Arial" w:cs="Arial"/>
              </w:rPr>
            </w:pPr>
            <w:r w:rsidRPr="00C21AF5">
              <w:rPr>
                <w:rFonts w:ascii="Arial" w:hAnsi="Arial" w:cs="Arial"/>
              </w:rPr>
              <w:t>1.6</w:t>
            </w:r>
          </w:p>
        </w:tc>
        <w:tc>
          <w:tcPr>
            <w:tcW w:w="1791" w:type="dxa"/>
          </w:tcPr>
          <w:p w14:paraId="0122B728" w14:textId="6F6E433F" w:rsidR="00BF6F45" w:rsidRPr="00C21AF5" w:rsidRDefault="00245AF2" w:rsidP="00513444">
            <w:pPr>
              <w:spacing w:before="60" w:after="60"/>
              <w:jc w:val="center"/>
              <w:rPr>
                <w:rFonts w:ascii="Arial" w:hAnsi="Arial" w:cs="Arial"/>
              </w:rPr>
            </w:pPr>
            <w:r w:rsidRPr="00C21AF5">
              <w:rPr>
                <w:rFonts w:ascii="Arial" w:hAnsi="Arial" w:cs="Arial"/>
              </w:rPr>
              <w:t>2.0</w:t>
            </w:r>
          </w:p>
        </w:tc>
      </w:tr>
      <w:tr w:rsidR="00C21AF5" w:rsidRPr="00C21AF5" w14:paraId="673AB037" w14:textId="77777777" w:rsidTr="00F92073">
        <w:tc>
          <w:tcPr>
            <w:tcW w:w="2534" w:type="dxa"/>
            <w:shd w:val="clear" w:color="auto" w:fill="D9E2F3" w:themeFill="accent1" w:themeFillTint="33"/>
          </w:tcPr>
          <w:p w14:paraId="0EDB8420" w14:textId="2560F652" w:rsidR="00BF6F45" w:rsidRPr="00C21AF5" w:rsidRDefault="00BF6F45" w:rsidP="0059724A">
            <w:pPr>
              <w:spacing w:before="60" w:after="60"/>
              <w:rPr>
                <w:rFonts w:ascii="Arial" w:hAnsi="Arial" w:cs="Arial"/>
                <w:b/>
                <w:bCs/>
              </w:rPr>
            </w:pPr>
            <w:r w:rsidRPr="00C21AF5">
              <w:rPr>
                <w:rFonts w:ascii="Arial" w:hAnsi="Arial" w:cs="Arial"/>
                <w:b/>
                <w:bCs/>
              </w:rPr>
              <w:t>Total</w:t>
            </w:r>
          </w:p>
        </w:tc>
        <w:tc>
          <w:tcPr>
            <w:tcW w:w="2990" w:type="dxa"/>
            <w:shd w:val="clear" w:color="auto" w:fill="D9E2F3" w:themeFill="accent1" w:themeFillTint="33"/>
          </w:tcPr>
          <w:p w14:paraId="16686937" w14:textId="31F933FC" w:rsidR="00BF6F45" w:rsidRPr="00C21AF5" w:rsidRDefault="00245AF2" w:rsidP="00513444">
            <w:pPr>
              <w:spacing w:before="60" w:after="60"/>
              <w:jc w:val="center"/>
              <w:rPr>
                <w:rFonts w:ascii="Arial" w:hAnsi="Arial" w:cs="Arial"/>
                <w:b/>
                <w:bCs/>
              </w:rPr>
            </w:pPr>
            <w:r w:rsidRPr="00C21AF5">
              <w:rPr>
                <w:rFonts w:ascii="Arial" w:hAnsi="Arial" w:cs="Arial"/>
                <w:b/>
                <w:bCs/>
              </w:rPr>
              <w:t>6836</w:t>
            </w:r>
          </w:p>
        </w:tc>
        <w:tc>
          <w:tcPr>
            <w:tcW w:w="1701" w:type="dxa"/>
            <w:shd w:val="clear" w:color="auto" w:fill="D9E2F3" w:themeFill="accent1" w:themeFillTint="33"/>
          </w:tcPr>
          <w:p w14:paraId="18D28370" w14:textId="62055172" w:rsidR="00BF6F45" w:rsidRPr="00C21AF5" w:rsidRDefault="00245AF2" w:rsidP="00513444">
            <w:pPr>
              <w:spacing w:before="60" w:after="60"/>
              <w:jc w:val="center"/>
              <w:rPr>
                <w:rFonts w:ascii="Arial" w:hAnsi="Arial" w:cs="Arial"/>
                <w:b/>
                <w:bCs/>
              </w:rPr>
            </w:pPr>
            <w:r w:rsidRPr="00C21AF5">
              <w:rPr>
                <w:rFonts w:ascii="Arial" w:hAnsi="Arial" w:cs="Arial"/>
                <w:b/>
                <w:bCs/>
              </w:rPr>
              <w:t>100.00</w:t>
            </w:r>
          </w:p>
        </w:tc>
        <w:tc>
          <w:tcPr>
            <w:tcW w:w="1791" w:type="dxa"/>
            <w:shd w:val="clear" w:color="auto" w:fill="D9E2F3" w:themeFill="accent1" w:themeFillTint="33"/>
          </w:tcPr>
          <w:p w14:paraId="10E884B9" w14:textId="5E34ACC8" w:rsidR="00BF6F45" w:rsidRPr="00C21AF5" w:rsidRDefault="00245AF2" w:rsidP="00513444">
            <w:pPr>
              <w:spacing w:before="60" w:after="60"/>
              <w:jc w:val="center"/>
              <w:rPr>
                <w:rFonts w:ascii="Arial" w:hAnsi="Arial" w:cs="Arial"/>
                <w:b/>
                <w:bCs/>
              </w:rPr>
            </w:pPr>
            <w:r w:rsidRPr="00C21AF5">
              <w:rPr>
                <w:rFonts w:ascii="Arial" w:hAnsi="Arial" w:cs="Arial"/>
                <w:b/>
                <w:bCs/>
              </w:rPr>
              <w:t>100.00</w:t>
            </w:r>
          </w:p>
        </w:tc>
      </w:tr>
    </w:tbl>
    <w:p w14:paraId="7C7541B1" w14:textId="7563CC9D" w:rsidR="00ED6061" w:rsidRPr="00C21AF5" w:rsidRDefault="00ED6061" w:rsidP="00ED6061">
      <w:pPr>
        <w:rPr>
          <w:rFonts w:ascii="Arial" w:hAnsi="Arial" w:cs="Arial"/>
          <w:i/>
          <w:iCs/>
        </w:rPr>
      </w:pPr>
      <w:r w:rsidRPr="00C21AF5">
        <w:rPr>
          <w:rFonts w:ascii="Arial" w:hAnsi="Arial" w:cs="Arial"/>
          <w:i/>
          <w:iCs/>
        </w:rPr>
        <w:t>Source:  Census Data</w:t>
      </w:r>
      <w:r w:rsidR="00503FE4">
        <w:rPr>
          <w:rFonts w:ascii="Arial" w:hAnsi="Arial" w:cs="Arial"/>
          <w:i/>
          <w:iCs/>
        </w:rPr>
        <w:t xml:space="preserve"> </w:t>
      </w:r>
      <w:r w:rsidR="000765B1">
        <w:rPr>
          <w:rFonts w:ascii="Arial" w:hAnsi="Arial" w:cs="Arial"/>
          <w:i/>
          <w:iCs/>
        </w:rPr>
        <w:t>2021</w:t>
      </w:r>
    </w:p>
    <w:p w14:paraId="313ABF3E" w14:textId="212322CB" w:rsidR="00EB70F4" w:rsidRPr="00C21AF5" w:rsidRDefault="00EB70F4" w:rsidP="00A116E8">
      <w:pPr>
        <w:jc w:val="both"/>
        <w:rPr>
          <w:rFonts w:ascii="Arial" w:hAnsi="Arial" w:cs="Arial"/>
        </w:rPr>
      </w:pPr>
      <w:r w:rsidRPr="00C21AF5">
        <w:rPr>
          <w:rFonts w:ascii="Arial" w:hAnsi="Arial" w:cs="Arial"/>
        </w:rPr>
        <w:t>The size</w:t>
      </w:r>
      <w:r w:rsidR="00503FE4">
        <w:rPr>
          <w:rFonts w:ascii="Arial" w:hAnsi="Arial" w:cs="Arial"/>
        </w:rPr>
        <w:t xml:space="preserve"> of</w:t>
      </w:r>
      <w:r w:rsidRPr="00C21AF5">
        <w:rPr>
          <w:rFonts w:ascii="Arial" w:hAnsi="Arial" w:cs="Arial"/>
        </w:rPr>
        <w:t xml:space="preserve"> </w:t>
      </w:r>
      <w:r w:rsidR="001012FC">
        <w:rPr>
          <w:rFonts w:ascii="Arial" w:hAnsi="Arial" w:cs="Arial"/>
        </w:rPr>
        <w:t xml:space="preserve">the </w:t>
      </w:r>
      <w:r w:rsidRPr="00C21AF5">
        <w:rPr>
          <w:rFonts w:ascii="Arial" w:hAnsi="Arial" w:cs="Arial"/>
        </w:rPr>
        <w:t>labour force in 2021 was 6,836 of which 2,133 were employed part time and 3,960 were full time workers.</w:t>
      </w:r>
    </w:p>
    <w:p w14:paraId="057F8B4B" w14:textId="4A92A741" w:rsidR="00EB70F4" w:rsidRPr="00C21AF5" w:rsidRDefault="00EB70F4" w:rsidP="00A116E8">
      <w:pPr>
        <w:jc w:val="both"/>
        <w:rPr>
          <w:rFonts w:ascii="Arial" w:hAnsi="Arial" w:cs="Arial"/>
        </w:rPr>
      </w:pPr>
      <w:r w:rsidRPr="00C21AF5">
        <w:rPr>
          <w:rFonts w:ascii="Arial" w:hAnsi="Arial" w:cs="Arial"/>
        </w:rPr>
        <w:t xml:space="preserve">The employment status (%) in </w:t>
      </w:r>
      <w:r w:rsidR="001012FC">
        <w:rPr>
          <w:rFonts w:ascii="Arial" w:hAnsi="Arial" w:cs="Arial"/>
        </w:rPr>
        <w:t xml:space="preserve">the </w:t>
      </w:r>
      <w:r w:rsidR="000E3A77">
        <w:rPr>
          <w:rFonts w:ascii="Arial" w:hAnsi="Arial" w:cs="Arial"/>
        </w:rPr>
        <w:t>area</w:t>
      </w:r>
      <w:r w:rsidRPr="00C21AF5">
        <w:rPr>
          <w:rFonts w:ascii="Arial" w:hAnsi="Arial" w:cs="Arial"/>
        </w:rPr>
        <w:t xml:space="preserve"> in 2021 comp</w:t>
      </w:r>
      <w:r w:rsidR="000B0C6F" w:rsidRPr="00C21AF5">
        <w:rPr>
          <w:rFonts w:ascii="Arial" w:hAnsi="Arial" w:cs="Arial"/>
        </w:rPr>
        <w:t>a</w:t>
      </w:r>
      <w:r w:rsidRPr="00C21AF5">
        <w:rPr>
          <w:rFonts w:ascii="Arial" w:hAnsi="Arial" w:cs="Arial"/>
        </w:rPr>
        <w:t xml:space="preserve">red to Regional NSW shows that there was a similar proportion in employment, as well as a similar proportion unemployed.  </w:t>
      </w:r>
    </w:p>
    <w:p w14:paraId="268A42CA" w14:textId="5F4C93D1" w:rsidR="00EB70F4" w:rsidRPr="00C21AF5" w:rsidRDefault="00EB70F4" w:rsidP="00A116E8">
      <w:pPr>
        <w:jc w:val="both"/>
        <w:rPr>
          <w:rFonts w:ascii="Arial" w:hAnsi="Arial" w:cs="Arial"/>
        </w:rPr>
      </w:pPr>
      <w:r w:rsidRPr="00C21AF5">
        <w:rPr>
          <w:rFonts w:ascii="Arial" w:hAnsi="Arial" w:cs="Arial"/>
        </w:rPr>
        <w:t>Overall</w:t>
      </w:r>
      <w:r w:rsidR="00503FE4">
        <w:rPr>
          <w:rFonts w:ascii="Arial" w:hAnsi="Arial" w:cs="Arial"/>
        </w:rPr>
        <w:t>,</w:t>
      </w:r>
      <w:r w:rsidRPr="00C21AF5">
        <w:rPr>
          <w:rFonts w:ascii="Arial" w:hAnsi="Arial" w:cs="Arial"/>
        </w:rPr>
        <w:t xml:space="preserve"> 95.8% of the labour force was employed and 4.2% unemployed, compared with 95.4% and 4.6% respectively for Regional NSW.</w:t>
      </w:r>
    </w:p>
    <w:p w14:paraId="78546E4B" w14:textId="25B0CB40" w:rsidR="00206471" w:rsidRPr="00C21AF5" w:rsidRDefault="00206471" w:rsidP="006C10FE">
      <w:pPr>
        <w:jc w:val="both"/>
        <w:rPr>
          <w:rFonts w:ascii="Arial" w:hAnsi="Arial" w:cs="Arial"/>
        </w:rPr>
      </w:pPr>
      <w:r w:rsidRPr="00C21AF5">
        <w:rPr>
          <w:rFonts w:ascii="Arial" w:hAnsi="Arial" w:cs="Arial"/>
        </w:rPr>
        <w:t>Between 20</w:t>
      </w:r>
      <w:r w:rsidR="00B63FB4">
        <w:rPr>
          <w:rFonts w:ascii="Arial" w:hAnsi="Arial" w:cs="Arial"/>
        </w:rPr>
        <w:t>1</w:t>
      </w:r>
      <w:r w:rsidRPr="00C21AF5">
        <w:rPr>
          <w:rFonts w:ascii="Arial" w:hAnsi="Arial" w:cs="Arial"/>
        </w:rPr>
        <w:t>6 and 2021</w:t>
      </w:r>
      <w:r w:rsidR="00503FE4">
        <w:rPr>
          <w:rFonts w:ascii="Arial" w:hAnsi="Arial" w:cs="Arial"/>
        </w:rPr>
        <w:t>,</w:t>
      </w:r>
      <w:r w:rsidRPr="00C21AF5">
        <w:rPr>
          <w:rFonts w:ascii="Arial" w:hAnsi="Arial" w:cs="Arial"/>
        </w:rPr>
        <w:t xml:space="preserve"> the number of people employed showed an increase of 552, and the number unemployed showed a decrease of 52. In the same period</w:t>
      </w:r>
      <w:r w:rsidR="00503FE4">
        <w:rPr>
          <w:rFonts w:ascii="Arial" w:hAnsi="Arial" w:cs="Arial"/>
        </w:rPr>
        <w:t>,</w:t>
      </w:r>
      <w:r w:rsidRPr="00C21AF5">
        <w:rPr>
          <w:rFonts w:ascii="Arial" w:hAnsi="Arial" w:cs="Arial"/>
        </w:rPr>
        <w:t xml:space="preserve"> the number of people in the labour force showed an increase of 500 or 7.9%</w:t>
      </w:r>
      <w:r w:rsidR="00503FE4">
        <w:rPr>
          <w:rFonts w:ascii="Arial" w:hAnsi="Arial" w:cs="Arial"/>
        </w:rPr>
        <w:t>.</w:t>
      </w:r>
    </w:p>
    <w:p w14:paraId="2A20C671" w14:textId="23376AFF" w:rsidR="00B9576B" w:rsidRPr="00C21AF5" w:rsidRDefault="00B9576B" w:rsidP="00577C01">
      <w:pPr>
        <w:pStyle w:val="Heading1"/>
        <w:rPr>
          <w:rFonts w:ascii="Arial" w:hAnsi="Arial" w:cs="Arial"/>
          <w:b/>
          <w:bCs/>
          <w:sz w:val="22"/>
          <w:szCs w:val="22"/>
        </w:rPr>
      </w:pPr>
      <w:bookmarkStart w:id="16" w:name="_Toc156305600"/>
      <w:r w:rsidRPr="00C21AF5">
        <w:rPr>
          <w:rFonts w:ascii="Arial" w:hAnsi="Arial" w:cs="Arial"/>
          <w:b/>
          <w:bCs/>
          <w:sz w:val="22"/>
          <w:szCs w:val="22"/>
        </w:rPr>
        <w:lastRenderedPageBreak/>
        <w:t>Education Institution Attending</w:t>
      </w:r>
      <w:bookmarkEnd w:id="16"/>
      <w:r w:rsidR="00050F05" w:rsidRPr="00C21AF5">
        <w:rPr>
          <w:rFonts w:ascii="Arial" w:hAnsi="Arial" w:cs="Arial"/>
          <w:b/>
          <w:bCs/>
          <w:sz w:val="22"/>
          <w:szCs w:val="22"/>
        </w:rPr>
        <w:t xml:space="preserve"> </w:t>
      </w:r>
    </w:p>
    <w:p w14:paraId="610195D8" w14:textId="77777777" w:rsidR="00B9576B" w:rsidRPr="00C21AF5" w:rsidRDefault="00B9576B" w:rsidP="00830E52">
      <w:pPr>
        <w:rPr>
          <w:rFonts w:ascii="Arial" w:hAnsi="Arial" w:cs="Arial"/>
        </w:rPr>
      </w:pPr>
    </w:p>
    <w:tbl>
      <w:tblPr>
        <w:tblStyle w:val="TableGrid"/>
        <w:tblW w:w="0" w:type="auto"/>
        <w:tblLook w:val="04A0" w:firstRow="1" w:lastRow="0" w:firstColumn="1" w:lastColumn="0" w:noHBand="0" w:noVBand="1"/>
      </w:tblPr>
      <w:tblGrid>
        <w:gridCol w:w="4531"/>
        <w:gridCol w:w="1418"/>
        <w:gridCol w:w="813"/>
        <w:gridCol w:w="2254"/>
      </w:tblGrid>
      <w:tr w:rsidR="00C21AF5" w:rsidRPr="00C21AF5" w14:paraId="670FB1C9" w14:textId="77777777" w:rsidTr="00D64DFF">
        <w:tc>
          <w:tcPr>
            <w:tcW w:w="4531" w:type="dxa"/>
            <w:tcBorders>
              <w:top w:val="nil"/>
              <w:left w:val="nil"/>
            </w:tcBorders>
            <w:shd w:val="clear" w:color="auto" w:fill="auto"/>
          </w:tcPr>
          <w:p w14:paraId="046D0955" w14:textId="77777777" w:rsidR="00D64DFF" w:rsidRPr="00C21AF5" w:rsidRDefault="00D64DFF" w:rsidP="00B9576B">
            <w:pPr>
              <w:spacing w:before="60" w:after="60"/>
              <w:rPr>
                <w:rFonts w:ascii="Arial" w:hAnsi="Arial" w:cs="Arial"/>
                <w:b/>
                <w:bCs/>
              </w:rPr>
            </w:pPr>
          </w:p>
        </w:tc>
        <w:tc>
          <w:tcPr>
            <w:tcW w:w="4485" w:type="dxa"/>
            <w:gridSpan w:val="3"/>
            <w:shd w:val="clear" w:color="auto" w:fill="ED7D31" w:themeFill="accent2"/>
          </w:tcPr>
          <w:p w14:paraId="7306CDBD" w14:textId="07BF94E0" w:rsidR="00D64DFF" w:rsidRPr="00C21AF5" w:rsidRDefault="00D64DFF" w:rsidP="00D64DFF">
            <w:pPr>
              <w:spacing w:before="60" w:after="60"/>
              <w:jc w:val="center"/>
              <w:rPr>
                <w:rFonts w:ascii="Arial" w:hAnsi="Arial" w:cs="Arial"/>
                <w:b/>
                <w:bCs/>
              </w:rPr>
            </w:pPr>
            <w:r w:rsidRPr="00C21AF5">
              <w:rPr>
                <w:rFonts w:ascii="Arial" w:hAnsi="Arial" w:cs="Arial"/>
                <w:b/>
                <w:bCs/>
              </w:rPr>
              <w:t>2021</w:t>
            </w:r>
          </w:p>
        </w:tc>
      </w:tr>
      <w:tr w:rsidR="00C21AF5" w:rsidRPr="00C21AF5" w14:paraId="1230BF3F" w14:textId="77777777" w:rsidTr="00B9576B">
        <w:tc>
          <w:tcPr>
            <w:tcW w:w="4531" w:type="dxa"/>
            <w:shd w:val="clear" w:color="auto" w:fill="002060"/>
          </w:tcPr>
          <w:p w14:paraId="5FF56268" w14:textId="345F14B7" w:rsidR="00B9576B" w:rsidRPr="00C21AF5" w:rsidRDefault="00B9576B" w:rsidP="00224BA5">
            <w:pPr>
              <w:spacing w:before="60" w:after="60"/>
              <w:jc w:val="center"/>
              <w:rPr>
                <w:rFonts w:ascii="Arial" w:hAnsi="Arial" w:cs="Arial"/>
                <w:b/>
                <w:bCs/>
              </w:rPr>
            </w:pPr>
            <w:r w:rsidRPr="00C21AF5">
              <w:rPr>
                <w:rFonts w:ascii="Arial" w:hAnsi="Arial" w:cs="Arial"/>
                <w:b/>
                <w:bCs/>
              </w:rPr>
              <w:t>Institution</w:t>
            </w:r>
          </w:p>
        </w:tc>
        <w:tc>
          <w:tcPr>
            <w:tcW w:w="1418" w:type="dxa"/>
            <w:shd w:val="clear" w:color="auto" w:fill="002060"/>
          </w:tcPr>
          <w:p w14:paraId="63CD07F8" w14:textId="2FB8008F" w:rsidR="00B9576B" w:rsidRPr="00C21AF5" w:rsidRDefault="00B9576B" w:rsidP="00224BA5">
            <w:pPr>
              <w:spacing w:before="60" w:after="60"/>
              <w:jc w:val="center"/>
              <w:rPr>
                <w:rFonts w:ascii="Arial" w:hAnsi="Arial" w:cs="Arial"/>
                <w:b/>
                <w:bCs/>
              </w:rPr>
            </w:pPr>
            <w:r w:rsidRPr="00C21AF5">
              <w:rPr>
                <w:rFonts w:ascii="Arial" w:hAnsi="Arial" w:cs="Arial"/>
                <w:b/>
                <w:bCs/>
              </w:rPr>
              <w:t>Number</w:t>
            </w:r>
          </w:p>
        </w:tc>
        <w:tc>
          <w:tcPr>
            <w:tcW w:w="813" w:type="dxa"/>
            <w:shd w:val="clear" w:color="auto" w:fill="002060"/>
          </w:tcPr>
          <w:p w14:paraId="4BB7AD47" w14:textId="40FA34C2" w:rsidR="00B9576B" w:rsidRPr="00C21AF5" w:rsidRDefault="00B9576B" w:rsidP="00224BA5">
            <w:pPr>
              <w:spacing w:before="60" w:after="60"/>
              <w:jc w:val="center"/>
              <w:rPr>
                <w:rFonts w:ascii="Arial" w:hAnsi="Arial" w:cs="Arial"/>
                <w:b/>
                <w:bCs/>
              </w:rPr>
            </w:pPr>
            <w:r w:rsidRPr="00C21AF5">
              <w:rPr>
                <w:rFonts w:ascii="Arial" w:hAnsi="Arial" w:cs="Arial"/>
                <w:b/>
                <w:bCs/>
              </w:rPr>
              <w:t>%</w:t>
            </w:r>
          </w:p>
        </w:tc>
        <w:tc>
          <w:tcPr>
            <w:tcW w:w="2254" w:type="dxa"/>
            <w:shd w:val="clear" w:color="auto" w:fill="002060"/>
          </w:tcPr>
          <w:p w14:paraId="607F641E" w14:textId="5C632229" w:rsidR="00B9576B" w:rsidRPr="00C21AF5" w:rsidRDefault="00B9576B" w:rsidP="00224BA5">
            <w:pPr>
              <w:spacing w:before="60" w:after="60"/>
              <w:jc w:val="center"/>
              <w:rPr>
                <w:rFonts w:ascii="Arial" w:hAnsi="Arial" w:cs="Arial"/>
                <w:b/>
                <w:bCs/>
              </w:rPr>
            </w:pPr>
            <w:r w:rsidRPr="00C21AF5">
              <w:rPr>
                <w:rFonts w:ascii="Arial" w:hAnsi="Arial" w:cs="Arial"/>
                <w:b/>
                <w:bCs/>
              </w:rPr>
              <w:t>Regional NSW</w:t>
            </w:r>
          </w:p>
        </w:tc>
      </w:tr>
      <w:tr w:rsidR="00C21AF5" w:rsidRPr="00C21AF5" w14:paraId="336739DF" w14:textId="77777777" w:rsidTr="00B9576B">
        <w:tc>
          <w:tcPr>
            <w:tcW w:w="4531" w:type="dxa"/>
          </w:tcPr>
          <w:p w14:paraId="7325A063" w14:textId="071B9003" w:rsidR="00B9576B" w:rsidRPr="00C21AF5" w:rsidRDefault="00B9576B" w:rsidP="00B9576B">
            <w:pPr>
              <w:spacing w:before="60" w:after="60"/>
              <w:rPr>
                <w:rFonts w:ascii="Arial" w:hAnsi="Arial" w:cs="Arial"/>
              </w:rPr>
            </w:pPr>
            <w:r w:rsidRPr="00C21AF5">
              <w:rPr>
                <w:rFonts w:ascii="Arial" w:hAnsi="Arial" w:cs="Arial"/>
              </w:rPr>
              <w:t>Preschool</w:t>
            </w:r>
          </w:p>
        </w:tc>
        <w:tc>
          <w:tcPr>
            <w:tcW w:w="1418" w:type="dxa"/>
          </w:tcPr>
          <w:p w14:paraId="0586E144" w14:textId="6920A73D" w:rsidR="00B9576B" w:rsidRPr="00C21AF5" w:rsidRDefault="00B9576B" w:rsidP="000B0C6F">
            <w:pPr>
              <w:spacing w:before="60" w:after="60"/>
              <w:jc w:val="center"/>
              <w:rPr>
                <w:rFonts w:ascii="Arial" w:hAnsi="Arial" w:cs="Arial"/>
              </w:rPr>
            </w:pPr>
            <w:r w:rsidRPr="00C21AF5">
              <w:rPr>
                <w:rFonts w:ascii="Arial" w:hAnsi="Arial" w:cs="Arial"/>
              </w:rPr>
              <w:t>310</w:t>
            </w:r>
          </w:p>
        </w:tc>
        <w:tc>
          <w:tcPr>
            <w:tcW w:w="813" w:type="dxa"/>
          </w:tcPr>
          <w:p w14:paraId="227CA561" w14:textId="177AEC69" w:rsidR="00B9576B" w:rsidRPr="00C21AF5" w:rsidRDefault="00B9576B" w:rsidP="000B0C6F">
            <w:pPr>
              <w:spacing w:before="60" w:after="60"/>
              <w:jc w:val="center"/>
              <w:rPr>
                <w:rFonts w:ascii="Arial" w:hAnsi="Arial" w:cs="Arial"/>
              </w:rPr>
            </w:pPr>
            <w:r w:rsidRPr="00C21AF5">
              <w:rPr>
                <w:rFonts w:ascii="Arial" w:hAnsi="Arial" w:cs="Arial"/>
              </w:rPr>
              <w:t>2.1</w:t>
            </w:r>
          </w:p>
        </w:tc>
        <w:tc>
          <w:tcPr>
            <w:tcW w:w="2254" w:type="dxa"/>
          </w:tcPr>
          <w:p w14:paraId="22E12C25" w14:textId="5C5FE537" w:rsidR="00B9576B" w:rsidRPr="00C21AF5" w:rsidRDefault="00B9576B" w:rsidP="000B0C6F">
            <w:pPr>
              <w:spacing w:before="60" w:after="60"/>
              <w:jc w:val="center"/>
              <w:rPr>
                <w:rFonts w:ascii="Arial" w:hAnsi="Arial" w:cs="Arial"/>
              </w:rPr>
            </w:pPr>
            <w:r w:rsidRPr="00C21AF5">
              <w:rPr>
                <w:rFonts w:ascii="Arial" w:hAnsi="Arial" w:cs="Arial"/>
              </w:rPr>
              <w:t>2.1</w:t>
            </w:r>
          </w:p>
        </w:tc>
      </w:tr>
      <w:tr w:rsidR="00C21AF5" w:rsidRPr="00C21AF5" w14:paraId="2DC31154" w14:textId="77777777" w:rsidTr="00B9576B">
        <w:tc>
          <w:tcPr>
            <w:tcW w:w="4531" w:type="dxa"/>
          </w:tcPr>
          <w:p w14:paraId="54278296" w14:textId="41CABCF1" w:rsidR="00B9576B" w:rsidRPr="00C21AF5" w:rsidRDefault="00B9576B" w:rsidP="00B9576B">
            <w:pPr>
              <w:spacing w:before="60" w:after="60"/>
              <w:rPr>
                <w:rFonts w:ascii="Arial" w:hAnsi="Arial" w:cs="Arial"/>
              </w:rPr>
            </w:pPr>
            <w:r w:rsidRPr="00C21AF5">
              <w:rPr>
                <w:rFonts w:ascii="Arial" w:hAnsi="Arial" w:cs="Arial"/>
              </w:rPr>
              <w:t>Primary School</w:t>
            </w:r>
          </w:p>
        </w:tc>
        <w:tc>
          <w:tcPr>
            <w:tcW w:w="1418" w:type="dxa"/>
          </w:tcPr>
          <w:p w14:paraId="0AC98AAA" w14:textId="0A210CFB" w:rsidR="00B9576B" w:rsidRPr="00C21AF5" w:rsidRDefault="00B9576B" w:rsidP="000B0C6F">
            <w:pPr>
              <w:spacing w:before="60" w:after="60"/>
              <w:jc w:val="center"/>
              <w:rPr>
                <w:rFonts w:ascii="Arial" w:hAnsi="Arial" w:cs="Arial"/>
              </w:rPr>
            </w:pPr>
            <w:r w:rsidRPr="00C21AF5">
              <w:rPr>
                <w:rFonts w:ascii="Arial" w:hAnsi="Arial" w:cs="Arial"/>
              </w:rPr>
              <w:t>1205</w:t>
            </w:r>
          </w:p>
        </w:tc>
        <w:tc>
          <w:tcPr>
            <w:tcW w:w="813" w:type="dxa"/>
          </w:tcPr>
          <w:p w14:paraId="70D94AE3" w14:textId="3AC6A986" w:rsidR="00B9576B" w:rsidRPr="00C21AF5" w:rsidRDefault="00B9576B" w:rsidP="000B0C6F">
            <w:pPr>
              <w:spacing w:before="60" w:after="60"/>
              <w:jc w:val="center"/>
              <w:rPr>
                <w:rFonts w:ascii="Arial" w:hAnsi="Arial" w:cs="Arial"/>
              </w:rPr>
            </w:pPr>
            <w:r w:rsidRPr="00C21AF5">
              <w:rPr>
                <w:rFonts w:ascii="Arial" w:hAnsi="Arial" w:cs="Arial"/>
              </w:rPr>
              <w:t>8.1</w:t>
            </w:r>
          </w:p>
        </w:tc>
        <w:tc>
          <w:tcPr>
            <w:tcW w:w="2254" w:type="dxa"/>
          </w:tcPr>
          <w:p w14:paraId="5B1AC9F8" w14:textId="5D5D4F03" w:rsidR="00B9576B" w:rsidRPr="00C21AF5" w:rsidRDefault="00B9576B" w:rsidP="000B0C6F">
            <w:pPr>
              <w:spacing w:before="60" w:after="60"/>
              <w:jc w:val="center"/>
              <w:rPr>
                <w:rFonts w:ascii="Arial" w:hAnsi="Arial" w:cs="Arial"/>
              </w:rPr>
            </w:pPr>
            <w:r w:rsidRPr="00C21AF5">
              <w:rPr>
                <w:rFonts w:ascii="Arial" w:hAnsi="Arial" w:cs="Arial"/>
              </w:rPr>
              <w:t>7.9</w:t>
            </w:r>
          </w:p>
        </w:tc>
      </w:tr>
      <w:tr w:rsidR="00C21AF5" w:rsidRPr="00C21AF5" w14:paraId="7AEF7F2C" w14:textId="77777777" w:rsidTr="00B9576B">
        <w:tc>
          <w:tcPr>
            <w:tcW w:w="4531" w:type="dxa"/>
          </w:tcPr>
          <w:p w14:paraId="235BA4C6" w14:textId="1A05E1F3" w:rsidR="00B9576B" w:rsidRPr="00C21AF5" w:rsidRDefault="00B9576B" w:rsidP="00B9576B">
            <w:pPr>
              <w:spacing w:before="60" w:after="60"/>
              <w:rPr>
                <w:rFonts w:ascii="Arial" w:hAnsi="Arial" w:cs="Arial"/>
              </w:rPr>
            </w:pPr>
            <w:r w:rsidRPr="00C21AF5">
              <w:rPr>
                <w:rFonts w:ascii="Arial" w:hAnsi="Arial" w:cs="Arial"/>
              </w:rPr>
              <w:t xml:space="preserve">  Primary – Government</w:t>
            </w:r>
          </w:p>
        </w:tc>
        <w:tc>
          <w:tcPr>
            <w:tcW w:w="1418" w:type="dxa"/>
          </w:tcPr>
          <w:p w14:paraId="0DCD17D3" w14:textId="6F4F9A3E" w:rsidR="00B9576B" w:rsidRPr="00C21AF5" w:rsidRDefault="00B9576B" w:rsidP="000B0C6F">
            <w:pPr>
              <w:spacing w:before="60" w:after="60"/>
              <w:jc w:val="center"/>
              <w:rPr>
                <w:rFonts w:ascii="Arial" w:hAnsi="Arial" w:cs="Arial"/>
              </w:rPr>
            </w:pPr>
            <w:r w:rsidRPr="00C21AF5">
              <w:rPr>
                <w:rFonts w:ascii="Arial" w:hAnsi="Arial" w:cs="Arial"/>
              </w:rPr>
              <w:t>874</w:t>
            </w:r>
          </w:p>
        </w:tc>
        <w:tc>
          <w:tcPr>
            <w:tcW w:w="813" w:type="dxa"/>
          </w:tcPr>
          <w:p w14:paraId="1017AF9B" w14:textId="45616E72" w:rsidR="00B9576B" w:rsidRPr="00C21AF5" w:rsidRDefault="00B9576B" w:rsidP="000B0C6F">
            <w:pPr>
              <w:spacing w:before="60" w:after="60"/>
              <w:jc w:val="center"/>
              <w:rPr>
                <w:rFonts w:ascii="Arial" w:hAnsi="Arial" w:cs="Arial"/>
              </w:rPr>
            </w:pPr>
            <w:r w:rsidRPr="00C21AF5">
              <w:rPr>
                <w:rFonts w:ascii="Arial" w:hAnsi="Arial" w:cs="Arial"/>
              </w:rPr>
              <w:t>5.9</w:t>
            </w:r>
          </w:p>
        </w:tc>
        <w:tc>
          <w:tcPr>
            <w:tcW w:w="2254" w:type="dxa"/>
          </w:tcPr>
          <w:p w14:paraId="77B87864" w14:textId="3F2625DF" w:rsidR="00B9576B" w:rsidRPr="00C21AF5" w:rsidRDefault="00B9576B" w:rsidP="000B0C6F">
            <w:pPr>
              <w:spacing w:before="60" w:after="60"/>
              <w:jc w:val="center"/>
              <w:rPr>
                <w:rFonts w:ascii="Arial" w:hAnsi="Arial" w:cs="Arial"/>
              </w:rPr>
            </w:pPr>
            <w:r w:rsidRPr="00C21AF5">
              <w:rPr>
                <w:rFonts w:ascii="Arial" w:hAnsi="Arial" w:cs="Arial"/>
              </w:rPr>
              <w:t>5.4</w:t>
            </w:r>
          </w:p>
        </w:tc>
      </w:tr>
      <w:tr w:rsidR="00C21AF5" w:rsidRPr="00C21AF5" w14:paraId="730ED86C" w14:textId="77777777" w:rsidTr="00B9576B">
        <w:tc>
          <w:tcPr>
            <w:tcW w:w="4531" w:type="dxa"/>
          </w:tcPr>
          <w:p w14:paraId="1FDF6BF8" w14:textId="6EB9E28B" w:rsidR="00B9576B" w:rsidRPr="00C21AF5" w:rsidRDefault="00B9576B" w:rsidP="00B9576B">
            <w:pPr>
              <w:spacing w:before="60" w:after="60"/>
              <w:rPr>
                <w:rFonts w:ascii="Arial" w:hAnsi="Arial" w:cs="Arial"/>
              </w:rPr>
            </w:pPr>
            <w:r w:rsidRPr="00C21AF5">
              <w:rPr>
                <w:rFonts w:ascii="Arial" w:hAnsi="Arial" w:cs="Arial"/>
              </w:rPr>
              <w:t xml:space="preserve">  Primary – Catholic</w:t>
            </w:r>
          </w:p>
        </w:tc>
        <w:tc>
          <w:tcPr>
            <w:tcW w:w="1418" w:type="dxa"/>
          </w:tcPr>
          <w:p w14:paraId="593DBBD2" w14:textId="64CF4A90" w:rsidR="00B9576B" w:rsidRPr="00C21AF5" w:rsidRDefault="00B9576B" w:rsidP="000B0C6F">
            <w:pPr>
              <w:spacing w:before="60" w:after="60"/>
              <w:jc w:val="center"/>
              <w:rPr>
                <w:rFonts w:ascii="Arial" w:hAnsi="Arial" w:cs="Arial"/>
              </w:rPr>
            </w:pPr>
            <w:r w:rsidRPr="00C21AF5">
              <w:rPr>
                <w:rFonts w:ascii="Arial" w:hAnsi="Arial" w:cs="Arial"/>
              </w:rPr>
              <w:t>317</w:t>
            </w:r>
          </w:p>
        </w:tc>
        <w:tc>
          <w:tcPr>
            <w:tcW w:w="813" w:type="dxa"/>
          </w:tcPr>
          <w:p w14:paraId="305B4001" w14:textId="48E450F2" w:rsidR="00B9576B" w:rsidRPr="00C21AF5" w:rsidRDefault="00B9576B" w:rsidP="000B0C6F">
            <w:pPr>
              <w:spacing w:before="60" w:after="60"/>
              <w:jc w:val="center"/>
              <w:rPr>
                <w:rFonts w:ascii="Arial" w:hAnsi="Arial" w:cs="Arial"/>
              </w:rPr>
            </w:pPr>
            <w:r w:rsidRPr="00C21AF5">
              <w:rPr>
                <w:rFonts w:ascii="Arial" w:hAnsi="Arial" w:cs="Arial"/>
              </w:rPr>
              <w:t>2.1</w:t>
            </w:r>
          </w:p>
        </w:tc>
        <w:tc>
          <w:tcPr>
            <w:tcW w:w="2254" w:type="dxa"/>
          </w:tcPr>
          <w:p w14:paraId="37B3429A" w14:textId="09F5CEE1" w:rsidR="00B9576B" w:rsidRPr="00C21AF5" w:rsidRDefault="00B9576B" w:rsidP="000B0C6F">
            <w:pPr>
              <w:spacing w:before="60" w:after="60"/>
              <w:jc w:val="center"/>
              <w:rPr>
                <w:rFonts w:ascii="Arial" w:hAnsi="Arial" w:cs="Arial"/>
              </w:rPr>
            </w:pPr>
            <w:r w:rsidRPr="00C21AF5">
              <w:rPr>
                <w:rFonts w:ascii="Arial" w:hAnsi="Arial" w:cs="Arial"/>
              </w:rPr>
              <w:t>1.7</w:t>
            </w:r>
          </w:p>
        </w:tc>
      </w:tr>
      <w:tr w:rsidR="00C21AF5" w:rsidRPr="00C21AF5" w14:paraId="03DBFD15" w14:textId="77777777" w:rsidTr="00B9576B">
        <w:tc>
          <w:tcPr>
            <w:tcW w:w="4531" w:type="dxa"/>
          </w:tcPr>
          <w:p w14:paraId="64C17C01" w14:textId="6C34E255" w:rsidR="00B9576B" w:rsidRPr="00C21AF5" w:rsidRDefault="00B9576B" w:rsidP="00B9576B">
            <w:pPr>
              <w:spacing w:before="60" w:after="60"/>
              <w:rPr>
                <w:rFonts w:ascii="Arial" w:hAnsi="Arial" w:cs="Arial"/>
              </w:rPr>
            </w:pPr>
            <w:r w:rsidRPr="00C21AF5">
              <w:rPr>
                <w:rFonts w:ascii="Arial" w:hAnsi="Arial" w:cs="Arial"/>
              </w:rPr>
              <w:t xml:space="preserve">  Primary – Independent</w:t>
            </w:r>
          </w:p>
        </w:tc>
        <w:tc>
          <w:tcPr>
            <w:tcW w:w="1418" w:type="dxa"/>
          </w:tcPr>
          <w:p w14:paraId="6DBF0DD9" w14:textId="6CC8D86D" w:rsidR="00B9576B" w:rsidRPr="00C21AF5" w:rsidRDefault="00B9576B" w:rsidP="000B0C6F">
            <w:pPr>
              <w:spacing w:before="60" w:after="60"/>
              <w:jc w:val="center"/>
              <w:rPr>
                <w:rFonts w:ascii="Arial" w:hAnsi="Arial" w:cs="Arial"/>
              </w:rPr>
            </w:pPr>
            <w:r w:rsidRPr="00C21AF5">
              <w:rPr>
                <w:rFonts w:ascii="Arial" w:hAnsi="Arial" w:cs="Arial"/>
              </w:rPr>
              <w:t>14</w:t>
            </w:r>
          </w:p>
        </w:tc>
        <w:tc>
          <w:tcPr>
            <w:tcW w:w="813" w:type="dxa"/>
          </w:tcPr>
          <w:p w14:paraId="558335B7" w14:textId="32C89F4E" w:rsidR="00B9576B" w:rsidRPr="00C21AF5" w:rsidRDefault="00B9576B" w:rsidP="000B0C6F">
            <w:pPr>
              <w:spacing w:before="60" w:after="60"/>
              <w:jc w:val="center"/>
              <w:rPr>
                <w:rFonts w:ascii="Arial" w:hAnsi="Arial" w:cs="Arial"/>
              </w:rPr>
            </w:pPr>
            <w:r w:rsidRPr="00C21AF5">
              <w:rPr>
                <w:rFonts w:ascii="Arial" w:hAnsi="Arial" w:cs="Arial"/>
              </w:rPr>
              <w:t>0.1</w:t>
            </w:r>
          </w:p>
        </w:tc>
        <w:tc>
          <w:tcPr>
            <w:tcW w:w="2254" w:type="dxa"/>
          </w:tcPr>
          <w:p w14:paraId="25B09F4C" w14:textId="492E12A6" w:rsidR="00B9576B" w:rsidRPr="00C21AF5" w:rsidRDefault="00B9576B" w:rsidP="000B0C6F">
            <w:pPr>
              <w:spacing w:before="60" w:after="60"/>
              <w:jc w:val="center"/>
              <w:rPr>
                <w:rFonts w:ascii="Arial" w:hAnsi="Arial" w:cs="Arial"/>
              </w:rPr>
            </w:pPr>
            <w:r w:rsidRPr="00C21AF5">
              <w:rPr>
                <w:rFonts w:ascii="Arial" w:hAnsi="Arial" w:cs="Arial"/>
              </w:rPr>
              <w:t>0.8</w:t>
            </w:r>
          </w:p>
        </w:tc>
      </w:tr>
      <w:tr w:rsidR="00C21AF5" w:rsidRPr="00C21AF5" w14:paraId="35DFF5D3" w14:textId="77777777" w:rsidTr="00B9576B">
        <w:tc>
          <w:tcPr>
            <w:tcW w:w="4531" w:type="dxa"/>
          </w:tcPr>
          <w:p w14:paraId="12247E32" w14:textId="458B34DD" w:rsidR="00B9576B" w:rsidRPr="00C21AF5" w:rsidRDefault="00B9576B" w:rsidP="00B9576B">
            <w:pPr>
              <w:spacing w:before="60" w:after="60"/>
              <w:rPr>
                <w:rFonts w:ascii="Arial" w:hAnsi="Arial" w:cs="Arial"/>
              </w:rPr>
            </w:pPr>
            <w:r w:rsidRPr="00C21AF5">
              <w:rPr>
                <w:rFonts w:ascii="Arial" w:hAnsi="Arial" w:cs="Arial"/>
              </w:rPr>
              <w:t>Secondary School</w:t>
            </w:r>
          </w:p>
        </w:tc>
        <w:tc>
          <w:tcPr>
            <w:tcW w:w="1418" w:type="dxa"/>
          </w:tcPr>
          <w:p w14:paraId="1D09ED4D" w14:textId="285E6176" w:rsidR="00B9576B" w:rsidRPr="00C21AF5" w:rsidRDefault="00B9576B" w:rsidP="000B0C6F">
            <w:pPr>
              <w:spacing w:before="60" w:after="60"/>
              <w:jc w:val="center"/>
              <w:rPr>
                <w:rFonts w:ascii="Arial" w:hAnsi="Arial" w:cs="Arial"/>
              </w:rPr>
            </w:pPr>
            <w:r w:rsidRPr="00C21AF5">
              <w:rPr>
                <w:rFonts w:ascii="Arial" w:hAnsi="Arial" w:cs="Arial"/>
              </w:rPr>
              <w:t>900</w:t>
            </w:r>
          </w:p>
        </w:tc>
        <w:tc>
          <w:tcPr>
            <w:tcW w:w="813" w:type="dxa"/>
          </w:tcPr>
          <w:p w14:paraId="20E17219" w14:textId="74EFDF4C" w:rsidR="00B9576B" w:rsidRPr="00C21AF5" w:rsidRDefault="00B9576B" w:rsidP="000B0C6F">
            <w:pPr>
              <w:spacing w:before="60" w:after="60"/>
              <w:jc w:val="center"/>
              <w:rPr>
                <w:rFonts w:ascii="Arial" w:hAnsi="Arial" w:cs="Arial"/>
              </w:rPr>
            </w:pPr>
            <w:r w:rsidRPr="00C21AF5">
              <w:rPr>
                <w:rFonts w:ascii="Arial" w:hAnsi="Arial" w:cs="Arial"/>
              </w:rPr>
              <w:t>6.0</w:t>
            </w:r>
          </w:p>
        </w:tc>
        <w:tc>
          <w:tcPr>
            <w:tcW w:w="2254" w:type="dxa"/>
          </w:tcPr>
          <w:p w14:paraId="03E2FBBB" w14:textId="1E19EAE9" w:rsidR="00B9576B" w:rsidRPr="00C21AF5" w:rsidRDefault="00B9576B" w:rsidP="000B0C6F">
            <w:pPr>
              <w:spacing w:before="60" w:after="60"/>
              <w:jc w:val="center"/>
              <w:rPr>
                <w:rFonts w:ascii="Arial" w:hAnsi="Arial" w:cs="Arial"/>
              </w:rPr>
            </w:pPr>
            <w:r w:rsidRPr="00C21AF5">
              <w:rPr>
                <w:rFonts w:ascii="Arial" w:hAnsi="Arial" w:cs="Arial"/>
              </w:rPr>
              <w:t>6.1</w:t>
            </w:r>
          </w:p>
        </w:tc>
      </w:tr>
      <w:tr w:rsidR="00C21AF5" w:rsidRPr="00C21AF5" w14:paraId="29E1BBB3" w14:textId="77777777" w:rsidTr="00B9576B">
        <w:tc>
          <w:tcPr>
            <w:tcW w:w="4531" w:type="dxa"/>
          </w:tcPr>
          <w:p w14:paraId="1286C277" w14:textId="31929A3B" w:rsidR="00B9576B" w:rsidRPr="00C21AF5" w:rsidRDefault="00B9576B" w:rsidP="00B9576B">
            <w:pPr>
              <w:spacing w:before="60" w:after="60"/>
              <w:rPr>
                <w:rFonts w:ascii="Arial" w:hAnsi="Arial" w:cs="Arial"/>
              </w:rPr>
            </w:pPr>
            <w:r w:rsidRPr="00C21AF5">
              <w:rPr>
                <w:rFonts w:ascii="Arial" w:hAnsi="Arial" w:cs="Arial"/>
              </w:rPr>
              <w:t xml:space="preserve">  Secondary – Government</w:t>
            </w:r>
          </w:p>
        </w:tc>
        <w:tc>
          <w:tcPr>
            <w:tcW w:w="1418" w:type="dxa"/>
          </w:tcPr>
          <w:p w14:paraId="56DF0C85" w14:textId="33367059" w:rsidR="00B9576B" w:rsidRPr="00C21AF5" w:rsidRDefault="00B9576B" w:rsidP="000B0C6F">
            <w:pPr>
              <w:spacing w:before="60" w:after="60"/>
              <w:jc w:val="center"/>
              <w:rPr>
                <w:rFonts w:ascii="Arial" w:hAnsi="Arial" w:cs="Arial"/>
              </w:rPr>
            </w:pPr>
            <w:r w:rsidRPr="00C21AF5">
              <w:rPr>
                <w:rFonts w:ascii="Arial" w:hAnsi="Arial" w:cs="Arial"/>
              </w:rPr>
              <w:t>712</w:t>
            </w:r>
          </w:p>
        </w:tc>
        <w:tc>
          <w:tcPr>
            <w:tcW w:w="813" w:type="dxa"/>
          </w:tcPr>
          <w:p w14:paraId="45F03A7C" w14:textId="7DE4C7F2" w:rsidR="00B9576B" w:rsidRPr="00C21AF5" w:rsidRDefault="00B9576B" w:rsidP="000B0C6F">
            <w:pPr>
              <w:spacing w:before="60" w:after="60"/>
              <w:jc w:val="center"/>
              <w:rPr>
                <w:rFonts w:ascii="Arial" w:hAnsi="Arial" w:cs="Arial"/>
              </w:rPr>
            </w:pPr>
            <w:r w:rsidRPr="00C21AF5">
              <w:rPr>
                <w:rFonts w:ascii="Arial" w:hAnsi="Arial" w:cs="Arial"/>
              </w:rPr>
              <w:t>4.8</w:t>
            </w:r>
          </w:p>
        </w:tc>
        <w:tc>
          <w:tcPr>
            <w:tcW w:w="2254" w:type="dxa"/>
          </w:tcPr>
          <w:p w14:paraId="2C007DAA" w14:textId="76112AC6" w:rsidR="00B9576B" w:rsidRPr="00C21AF5" w:rsidRDefault="00B9576B" w:rsidP="000B0C6F">
            <w:pPr>
              <w:spacing w:before="60" w:after="60"/>
              <w:jc w:val="center"/>
              <w:rPr>
                <w:rFonts w:ascii="Arial" w:hAnsi="Arial" w:cs="Arial"/>
              </w:rPr>
            </w:pPr>
            <w:r w:rsidRPr="00C21AF5">
              <w:rPr>
                <w:rFonts w:ascii="Arial" w:hAnsi="Arial" w:cs="Arial"/>
              </w:rPr>
              <w:t>3.8</w:t>
            </w:r>
          </w:p>
        </w:tc>
      </w:tr>
      <w:tr w:rsidR="00C21AF5" w:rsidRPr="00C21AF5" w14:paraId="39128027" w14:textId="77777777" w:rsidTr="00B9576B">
        <w:tc>
          <w:tcPr>
            <w:tcW w:w="4531" w:type="dxa"/>
          </w:tcPr>
          <w:p w14:paraId="5639B2EA" w14:textId="367CDE09" w:rsidR="00B9576B" w:rsidRPr="00C21AF5" w:rsidRDefault="00B9576B" w:rsidP="00B9576B">
            <w:pPr>
              <w:spacing w:before="60" w:after="60"/>
              <w:rPr>
                <w:rFonts w:ascii="Arial" w:hAnsi="Arial" w:cs="Arial"/>
              </w:rPr>
            </w:pPr>
            <w:r w:rsidRPr="00C21AF5">
              <w:rPr>
                <w:rFonts w:ascii="Arial" w:hAnsi="Arial" w:cs="Arial"/>
              </w:rPr>
              <w:t xml:space="preserve">  Secondary – Catholic</w:t>
            </w:r>
          </w:p>
        </w:tc>
        <w:tc>
          <w:tcPr>
            <w:tcW w:w="1418" w:type="dxa"/>
          </w:tcPr>
          <w:p w14:paraId="7E91A82D" w14:textId="146820CC" w:rsidR="00B9576B" w:rsidRPr="00C21AF5" w:rsidRDefault="00B9576B" w:rsidP="000B0C6F">
            <w:pPr>
              <w:spacing w:before="60" w:after="60"/>
              <w:jc w:val="center"/>
              <w:rPr>
                <w:rFonts w:ascii="Arial" w:hAnsi="Arial" w:cs="Arial"/>
              </w:rPr>
            </w:pPr>
            <w:r w:rsidRPr="00C21AF5">
              <w:rPr>
                <w:rFonts w:ascii="Arial" w:hAnsi="Arial" w:cs="Arial"/>
              </w:rPr>
              <w:t>164</w:t>
            </w:r>
          </w:p>
        </w:tc>
        <w:tc>
          <w:tcPr>
            <w:tcW w:w="813" w:type="dxa"/>
          </w:tcPr>
          <w:p w14:paraId="34EDB924" w14:textId="1AB61CCF" w:rsidR="00B9576B" w:rsidRPr="00C21AF5" w:rsidRDefault="00B9576B" w:rsidP="000B0C6F">
            <w:pPr>
              <w:spacing w:before="60" w:after="60"/>
              <w:jc w:val="center"/>
              <w:rPr>
                <w:rFonts w:ascii="Arial" w:hAnsi="Arial" w:cs="Arial"/>
              </w:rPr>
            </w:pPr>
            <w:r w:rsidRPr="00C21AF5">
              <w:rPr>
                <w:rFonts w:ascii="Arial" w:hAnsi="Arial" w:cs="Arial"/>
              </w:rPr>
              <w:t>1.1</w:t>
            </w:r>
          </w:p>
        </w:tc>
        <w:tc>
          <w:tcPr>
            <w:tcW w:w="2254" w:type="dxa"/>
          </w:tcPr>
          <w:p w14:paraId="1EE4580C" w14:textId="560C2FE3" w:rsidR="00B9576B" w:rsidRPr="00C21AF5" w:rsidRDefault="00B9576B" w:rsidP="000B0C6F">
            <w:pPr>
              <w:spacing w:before="60" w:after="60"/>
              <w:jc w:val="center"/>
              <w:rPr>
                <w:rFonts w:ascii="Arial" w:hAnsi="Arial" w:cs="Arial"/>
              </w:rPr>
            </w:pPr>
            <w:r w:rsidRPr="00C21AF5">
              <w:rPr>
                <w:rFonts w:ascii="Arial" w:hAnsi="Arial" w:cs="Arial"/>
              </w:rPr>
              <w:t>1.4</w:t>
            </w:r>
          </w:p>
        </w:tc>
      </w:tr>
      <w:tr w:rsidR="00C21AF5" w:rsidRPr="00C21AF5" w14:paraId="198366E3" w14:textId="77777777" w:rsidTr="00B9576B">
        <w:tc>
          <w:tcPr>
            <w:tcW w:w="4531" w:type="dxa"/>
          </w:tcPr>
          <w:p w14:paraId="20FCE339" w14:textId="5FE292B4" w:rsidR="00B9576B" w:rsidRPr="00C21AF5" w:rsidRDefault="00B9576B" w:rsidP="00B9576B">
            <w:pPr>
              <w:spacing w:before="60" w:after="60"/>
              <w:rPr>
                <w:rFonts w:ascii="Arial" w:hAnsi="Arial" w:cs="Arial"/>
              </w:rPr>
            </w:pPr>
            <w:r w:rsidRPr="00C21AF5">
              <w:rPr>
                <w:rFonts w:ascii="Arial" w:hAnsi="Arial" w:cs="Arial"/>
              </w:rPr>
              <w:t xml:space="preserve">  Secondary – Independent</w:t>
            </w:r>
          </w:p>
        </w:tc>
        <w:tc>
          <w:tcPr>
            <w:tcW w:w="1418" w:type="dxa"/>
          </w:tcPr>
          <w:p w14:paraId="20A5C478" w14:textId="5E741345" w:rsidR="00B9576B" w:rsidRPr="00C21AF5" w:rsidRDefault="00B9576B" w:rsidP="000B0C6F">
            <w:pPr>
              <w:spacing w:before="60" w:after="60"/>
              <w:jc w:val="center"/>
              <w:rPr>
                <w:rFonts w:ascii="Arial" w:hAnsi="Arial" w:cs="Arial"/>
              </w:rPr>
            </w:pPr>
            <w:r w:rsidRPr="00C21AF5">
              <w:rPr>
                <w:rFonts w:ascii="Arial" w:hAnsi="Arial" w:cs="Arial"/>
              </w:rPr>
              <w:t>24</w:t>
            </w:r>
          </w:p>
        </w:tc>
        <w:tc>
          <w:tcPr>
            <w:tcW w:w="813" w:type="dxa"/>
          </w:tcPr>
          <w:p w14:paraId="126F035E" w14:textId="0706168C" w:rsidR="00B9576B" w:rsidRPr="00C21AF5" w:rsidRDefault="00B9576B" w:rsidP="000B0C6F">
            <w:pPr>
              <w:spacing w:before="60" w:after="60"/>
              <w:jc w:val="center"/>
              <w:rPr>
                <w:rFonts w:ascii="Arial" w:hAnsi="Arial" w:cs="Arial"/>
              </w:rPr>
            </w:pPr>
            <w:r w:rsidRPr="00C21AF5">
              <w:rPr>
                <w:rFonts w:ascii="Arial" w:hAnsi="Arial" w:cs="Arial"/>
              </w:rPr>
              <w:t>0.2</w:t>
            </w:r>
          </w:p>
        </w:tc>
        <w:tc>
          <w:tcPr>
            <w:tcW w:w="2254" w:type="dxa"/>
          </w:tcPr>
          <w:p w14:paraId="47E0E379" w14:textId="629147B8" w:rsidR="00B9576B" w:rsidRPr="00C21AF5" w:rsidRDefault="00B9576B" w:rsidP="000B0C6F">
            <w:pPr>
              <w:spacing w:before="60" w:after="60"/>
              <w:jc w:val="center"/>
              <w:rPr>
                <w:rFonts w:ascii="Arial" w:hAnsi="Arial" w:cs="Arial"/>
              </w:rPr>
            </w:pPr>
            <w:r w:rsidRPr="00C21AF5">
              <w:rPr>
                <w:rFonts w:ascii="Arial" w:hAnsi="Arial" w:cs="Arial"/>
              </w:rPr>
              <w:t>0.9</w:t>
            </w:r>
          </w:p>
        </w:tc>
      </w:tr>
      <w:tr w:rsidR="00C21AF5" w:rsidRPr="00C21AF5" w14:paraId="2A0EFF5A" w14:textId="77777777" w:rsidTr="00B9576B">
        <w:tc>
          <w:tcPr>
            <w:tcW w:w="4531" w:type="dxa"/>
          </w:tcPr>
          <w:p w14:paraId="161B1597" w14:textId="45FD0EAC" w:rsidR="00B9576B" w:rsidRPr="00C21AF5" w:rsidRDefault="00B9576B" w:rsidP="00B9576B">
            <w:pPr>
              <w:spacing w:before="60" w:after="60"/>
              <w:rPr>
                <w:rFonts w:ascii="Arial" w:hAnsi="Arial" w:cs="Arial"/>
              </w:rPr>
            </w:pPr>
            <w:r w:rsidRPr="00C21AF5">
              <w:rPr>
                <w:rFonts w:ascii="Arial" w:hAnsi="Arial" w:cs="Arial"/>
              </w:rPr>
              <w:t>TAFE – Vocational</w:t>
            </w:r>
          </w:p>
        </w:tc>
        <w:tc>
          <w:tcPr>
            <w:tcW w:w="1418" w:type="dxa"/>
          </w:tcPr>
          <w:p w14:paraId="28180D63" w14:textId="302A7E79" w:rsidR="00B9576B" w:rsidRPr="00C21AF5" w:rsidRDefault="00B9576B" w:rsidP="000B0C6F">
            <w:pPr>
              <w:spacing w:before="60" w:after="60"/>
              <w:jc w:val="center"/>
              <w:rPr>
                <w:rFonts w:ascii="Arial" w:hAnsi="Arial" w:cs="Arial"/>
              </w:rPr>
            </w:pPr>
            <w:r w:rsidRPr="00C21AF5">
              <w:rPr>
                <w:rFonts w:ascii="Arial" w:hAnsi="Arial" w:cs="Arial"/>
              </w:rPr>
              <w:t>321</w:t>
            </w:r>
          </w:p>
        </w:tc>
        <w:tc>
          <w:tcPr>
            <w:tcW w:w="813" w:type="dxa"/>
          </w:tcPr>
          <w:p w14:paraId="3DC6460A" w14:textId="596D361C" w:rsidR="00B9576B" w:rsidRPr="00C21AF5" w:rsidRDefault="00B9576B" w:rsidP="000B0C6F">
            <w:pPr>
              <w:spacing w:before="60" w:after="60"/>
              <w:jc w:val="center"/>
              <w:rPr>
                <w:rFonts w:ascii="Arial" w:hAnsi="Arial" w:cs="Arial"/>
              </w:rPr>
            </w:pPr>
            <w:r w:rsidRPr="00C21AF5">
              <w:rPr>
                <w:rFonts w:ascii="Arial" w:hAnsi="Arial" w:cs="Arial"/>
              </w:rPr>
              <w:t>2.2</w:t>
            </w:r>
          </w:p>
        </w:tc>
        <w:tc>
          <w:tcPr>
            <w:tcW w:w="2254" w:type="dxa"/>
          </w:tcPr>
          <w:p w14:paraId="7A79B483" w14:textId="09849780" w:rsidR="00B9576B" w:rsidRPr="00C21AF5" w:rsidRDefault="00B9576B" w:rsidP="000B0C6F">
            <w:pPr>
              <w:spacing w:before="60" w:after="60"/>
              <w:jc w:val="center"/>
              <w:rPr>
                <w:rFonts w:ascii="Arial" w:hAnsi="Arial" w:cs="Arial"/>
              </w:rPr>
            </w:pPr>
            <w:r w:rsidRPr="00C21AF5">
              <w:rPr>
                <w:rFonts w:ascii="Arial" w:hAnsi="Arial" w:cs="Arial"/>
              </w:rPr>
              <w:t>2.5</w:t>
            </w:r>
          </w:p>
        </w:tc>
      </w:tr>
      <w:tr w:rsidR="00C21AF5" w:rsidRPr="00C21AF5" w14:paraId="08714E75" w14:textId="77777777" w:rsidTr="00B9576B">
        <w:tc>
          <w:tcPr>
            <w:tcW w:w="4531" w:type="dxa"/>
          </w:tcPr>
          <w:p w14:paraId="4F51EFE1" w14:textId="787CBA14" w:rsidR="00B9576B" w:rsidRPr="00C21AF5" w:rsidRDefault="00B9576B" w:rsidP="00B9576B">
            <w:pPr>
              <w:spacing w:before="60" w:after="60"/>
              <w:rPr>
                <w:rFonts w:ascii="Arial" w:hAnsi="Arial" w:cs="Arial"/>
              </w:rPr>
            </w:pPr>
            <w:r w:rsidRPr="00C21AF5">
              <w:rPr>
                <w:rFonts w:ascii="Arial" w:hAnsi="Arial" w:cs="Arial"/>
              </w:rPr>
              <w:t>University</w:t>
            </w:r>
          </w:p>
        </w:tc>
        <w:tc>
          <w:tcPr>
            <w:tcW w:w="1418" w:type="dxa"/>
          </w:tcPr>
          <w:p w14:paraId="156C6900" w14:textId="14A12AF3" w:rsidR="00B9576B" w:rsidRPr="00C21AF5" w:rsidRDefault="00B9576B" w:rsidP="000B0C6F">
            <w:pPr>
              <w:spacing w:before="60" w:after="60"/>
              <w:jc w:val="center"/>
              <w:rPr>
                <w:rFonts w:ascii="Arial" w:hAnsi="Arial" w:cs="Arial"/>
              </w:rPr>
            </w:pPr>
            <w:r w:rsidRPr="00C21AF5">
              <w:rPr>
                <w:rFonts w:ascii="Arial" w:hAnsi="Arial" w:cs="Arial"/>
              </w:rPr>
              <w:t>207</w:t>
            </w:r>
          </w:p>
        </w:tc>
        <w:tc>
          <w:tcPr>
            <w:tcW w:w="813" w:type="dxa"/>
          </w:tcPr>
          <w:p w14:paraId="7B04EBCE" w14:textId="6211E6F1" w:rsidR="00B9576B" w:rsidRPr="00C21AF5" w:rsidRDefault="00B9576B" w:rsidP="000B0C6F">
            <w:pPr>
              <w:spacing w:before="60" w:after="60"/>
              <w:jc w:val="center"/>
              <w:rPr>
                <w:rFonts w:ascii="Arial" w:hAnsi="Arial" w:cs="Arial"/>
              </w:rPr>
            </w:pPr>
            <w:r w:rsidRPr="00C21AF5">
              <w:rPr>
                <w:rFonts w:ascii="Arial" w:hAnsi="Arial" w:cs="Arial"/>
              </w:rPr>
              <w:t>1.4</w:t>
            </w:r>
          </w:p>
        </w:tc>
        <w:tc>
          <w:tcPr>
            <w:tcW w:w="2254" w:type="dxa"/>
          </w:tcPr>
          <w:p w14:paraId="06D730A1" w14:textId="41B26801" w:rsidR="00B9576B" w:rsidRPr="00C21AF5" w:rsidRDefault="00B9576B" w:rsidP="000B0C6F">
            <w:pPr>
              <w:spacing w:before="60" w:after="60"/>
              <w:jc w:val="center"/>
              <w:rPr>
                <w:rFonts w:ascii="Arial" w:hAnsi="Arial" w:cs="Arial"/>
              </w:rPr>
            </w:pPr>
            <w:r w:rsidRPr="00C21AF5">
              <w:rPr>
                <w:rFonts w:ascii="Arial" w:hAnsi="Arial" w:cs="Arial"/>
              </w:rPr>
              <w:t>3.0</w:t>
            </w:r>
          </w:p>
        </w:tc>
      </w:tr>
      <w:tr w:rsidR="00C21AF5" w:rsidRPr="00C21AF5" w14:paraId="71D4941F" w14:textId="77777777" w:rsidTr="00B9576B">
        <w:tc>
          <w:tcPr>
            <w:tcW w:w="4531" w:type="dxa"/>
          </w:tcPr>
          <w:p w14:paraId="5BFBFA15" w14:textId="3B303E7A" w:rsidR="00B9576B" w:rsidRPr="00C21AF5" w:rsidRDefault="00B9576B" w:rsidP="00B9576B">
            <w:pPr>
              <w:spacing w:before="60" w:after="60"/>
              <w:rPr>
                <w:rFonts w:ascii="Arial" w:hAnsi="Arial" w:cs="Arial"/>
              </w:rPr>
            </w:pPr>
            <w:r w:rsidRPr="00C21AF5">
              <w:rPr>
                <w:rFonts w:ascii="Arial" w:hAnsi="Arial" w:cs="Arial"/>
              </w:rPr>
              <w:t>Other</w:t>
            </w:r>
          </w:p>
        </w:tc>
        <w:tc>
          <w:tcPr>
            <w:tcW w:w="1418" w:type="dxa"/>
          </w:tcPr>
          <w:p w14:paraId="6CB5EF83" w14:textId="6D00DF78" w:rsidR="00B9576B" w:rsidRPr="00C21AF5" w:rsidRDefault="00B9576B" w:rsidP="000B0C6F">
            <w:pPr>
              <w:spacing w:before="60" w:after="60"/>
              <w:jc w:val="center"/>
              <w:rPr>
                <w:rFonts w:ascii="Arial" w:hAnsi="Arial" w:cs="Arial"/>
              </w:rPr>
            </w:pPr>
            <w:r w:rsidRPr="00C21AF5">
              <w:rPr>
                <w:rFonts w:ascii="Arial" w:hAnsi="Arial" w:cs="Arial"/>
              </w:rPr>
              <w:t>86</w:t>
            </w:r>
          </w:p>
        </w:tc>
        <w:tc>
          <w:tcPr>
            <w:tcW w:w="813" w:type="dxa"/>
          </w:tcPr>
          <w:p w14:paraId="1AB26669" w14:textId="2BEEF355" w:rsidR="00B9576B" w:rsidRPr="00C21AF5" w:rsidRDefault="00B9576B" w:rsidP="000B0C6F">
            <w:pPr>
              <w:spacing w:before="60" w:after="60"/>
              <w:jc w:val="center"/>
              <w:rPr>
                <w:rFonts w:ascii="Arial" w:hAnsi="Arial" w:cs="Arial"/>
              </w:rPr>
            </w:pPr>
            <w:r w:rsidRPr="00C21AF5">
              <w:rPr>
                <w:rFonts w:ascii="Arial" w:hAnsi="Arial" w:cs="Arial"/>
              </w:rPr>
              <w:t>0.6</w:t>
            </w:r>
          </w:p>
        </w:tc>
        <w:tc>
          <w:tcPr>
            <w:tcW w:w="2254" w:type="dxa"/>
          </w:tcPr>
          <w:p w14:paraId="490F7A53" w14:textId="5003940B" w:rsidR="00B9576B" w:rsidRPr="00C21AF5" w:rsidRDefault="00B9576B" w:rsidP="000B0C6F">
            <w:pPr>
              <w:spacing w:before="60" w:after="60"/>
              <w:jc w:val="center"/>
              <w:rPr>
                <w:rFonts w:ascii="Arial" w:hAnsi="Arial" w:cs="Arial"/>
              </w:rPr>
            </w:pPr>
            <w:r w:rsidRPr="00C21AF5">
              <w:rPr>
                <w:rFonts w:ascii="Arial" w:hAnsi="Arial" w:cs="Arial"/>
              </w:rPr>
              <w:t>0.5</w:t>
            </w:r>
          </w:p>
        </w:tc>
      </w:tr>
      <w:tr w:rsidR="00C21AF5" w:rsidRPr="00C21AF5" w14:paraId="606352EB" w14:textId="77777777" w:rsidTr="00B9576B">
        <w:tc>
          <w:tcPr>
            <w:tcW w:w="4531" w:type="dxa"/>
          </w:tcPr>
          <w:p w14:paraId="7CE682E1" w14:textId="14617A2D" w:rsidR="00B9576B" w:rsidRPr="00C21AF5" w:rsidRDefault="00B9576B" w:rsidP="00B9576B">
            <w:pPr>
              <w:spacing w:before="60" w:after="60"/>
              <w:rPr>
                <w:rFonts w:ascii="Arial" w:hAnsi="Arial" w:cs="Arial"/>
              </w:rPr>
            </w:pPr>
            <w:r w:rsidRPr="00C21AF5">
              <w:rPr>
                <w:rFonts w:ascii="Arial" w:hAnsi="Arial" w:cs="Arial"/>
              </w:rPr>
              <w:t xml:space="preserve">Not attending </w:t>
            </w:r>
          </w:p>
        </w:tc>
        <w:tc>
          <w:tcPr>
            <w:tcW w:w="1418" w:type="dxa"/>
          </w:tcPr>
          <w:p w14:paraId="3237EA73" w14:textId="52EBE28D" w:rsidR="00B9576B" w:rsidRPr="00C21AF5" w:rsidRDefault="00B9576B" w:rsidP="000B0C6F">
            <w:pPr>
              <w:spacing w:before="60" w:after="60"/>
              <w:jc w:val="center"/>
              <w:rPr>
                <w:rFonts w:ascii="Arial" w:hAnsi="Arial" w:cs="Arial"/>
              </w:rPr>
            </w:pPr>
            <w:r w:rsidRPr="00C21AF5">
              <w:rPr>
                <w:rFonts w:ascii="Arial" w:hAnsi="Arial" w:cs="Arial"/>
              </w:rPr>
              <w:t>10,585</w:t>
            </w:r>
          </w:p>
        </w:tc>
        <w:tc>
          <w:tcPr>
            <w:tcW w:w="813" w:type="dxa"/>
          </w:tcPr>
          <w:p w14:paraId="262A093B" w14:textId="374F8144" w:rsidR="00B9576B" w:rsidRPr="00C21AF5" w:rsidRDefault="00B9576B" w:rsidP="000B0C6F">
            <w:pPr>
              <w:spacing w:before="60" w:after="60"/>
              <w:jc w:val="center"/>
              <w:rPr>
                <w:rFonts w:ascii="Arial" w:hAnsi="Arial" w:cs="Arial"/>
              </w:rPr>
            </w:pPr>
            <w:r w:rsidRPr="00C21AF5">
              <w:rPr>
                <w:rFonts w:ascii="Arial" w:hAnsi="Arial" w:cs="Arial"/>
              </w:rPr>
              <w:t>72.2</w:t>
            </w:r>
          </w:p>
        </w:tc>
        <w:tc>
          <w:tcPr>
            <w:tcW w:w="2254" w:type="dxa"/>
          </w:tcPr>
          <w:p w14:paraId="35B0F2E7" w14:textId="2022BD7E" w:rsidR="00B9576B" w:rsidRPr="00C21AF5" w:rsidRDefault="00B9576B" w:rsidP="000B0C6F">
            <w:pPr>
              <w:spacing w:before="60" w:after="60"/>
              <w:jc w:val="center"/>
              <w:rPr>
                <w:rFonts w:ascii="Arial" w:hAnsi="Arial" w:cs="Arial"/>
              </w:rPr>
            </w:pPr>
            <w:r w:rsidRPr="00C21AF5">
              <w:rPr>
                <w:rFonts w:ascii="Arial" w:hAnsi="Arial" w:cs="Arial"/>
              </w:rPr>
              <w:t>72.2</w:t>
            </w:r>
          </w:p>
        </w:tc>
      </w:tr>
      <w:tr w:rsidR="00C21AF5" w:rsidRPr="00C21AF5" w14:paraId="19DC63C2" w14:textId="77777777" w:rsidTr="00B9576B">
        <w:tc>
          <w:tcPr>
            <w:tcW w:w="4531" w:type="dxa"/>
          </w:tcPr>
          <w:p w14:paraId="610C4EDF" w14:textId="3376692B" w:rsidR="00B9576B" w:rsidRPr="00C21AF5" w:rsidRDefault="00B9576B" w:rsidP="00B9576B">
            <w:pPr>
              <w:spacing w:before="60" w:after="60"/>
              <w:rPr>
                <w:rFonts w:ascii="Arial" w:hAnsi="Arial" w:cs="Arial"/>
              </w:rPr>
            </w:pPr>
            <w:r w:rsidRPr="00C21AF5">
              <w:rPr>
                <w:rFonts w:ascii="Arial" w:hAnsi="Arial" w:cs="Arial"/>
              </w:rPr>
              <w:t>Not stated</w:t>
            </w:r>
          </w:p>
        </w:tc>
        <w:tc>
          <w:tcPr>
            <w:tcW w:w="1418" w:type="dxa"/>
          </w:tcPr>
          <w:p w14:paraId="303AB334" w14:textId="2079D129" w:rsidR="00B9576B" w:rsidRPr="00C21AF5" w:rsidRDefault="00B9576B" w:rsidP="000B0C6F">
            <w:pPr>
              <w:spacing w:before="60" w:after="60"/>
              <w:jc w:val="center"/>
              <w:rPr>
                <w:rFonts w:ascii="Arial" w:hAnsi="Arial" w:cs="Arial"/>
              </w:rPr>
            </w:pPr>
            <w:r w:rsidRPr="00C21AF5">
              <w:rPr>
                <w:rFonts w:ascii="Arial" w:hAnsi="Arial" w:cs="Arial"/>
              </w:rPr>
              <w:t>1,277</w:t>
            </w:r>
          </w:p>
        </w:tc>
        <w:tc>
          <w:tcPr>
            <w:tcW w:w="813" w:type="dxa"/>
          </w:tcPr>
          <w:p w14:paraId="56F9A4D6" w14:textId="579E6B0F" w:rsidR="00B9576B" w:rsidRPr="00C21AF5" w:rsidRDefault="00B9576B" w:rsidP="000B0C6F">
            <w:pPr>
              <w:spacing w:before="60" w:after="60"/>
              <w:jc w:val="center"/>
              <w:rPr>
                <w:rFonts w:ascii="Arial" w:hAnsi="Arial" w:cs="Arial"/>
              </w:rPr>
            </w:pPr>
            <w:r w:rsidRPr="00C21AF5">
              <w:rPr>
                <w:rFonts w:ascii="Arial" w:hAnsi="Arial" w:cs="Arial"/>
              </w:rPr>
              <w:t>8.6</w:t>
            </w:r>
          </w:p>
        </w:tc>
        <w:tc>
          <w:tcPr>
            <w:tcW w:w="2254" w:type="dxa"/>
          </w:tcPr>
          <w:p w14:paraId="42358281" w14:textId="60AD34D8" w:rsidR="00B9576B" w:rsidRPr="00C21AF5" w:rsidRDefault="00B9576B" w:rsidP="000B0C6F">
            <w:pPr>
              <w:spacing w:before="60" w:after="60"/>
              <w:jc w:val="center"/>
              <w:rPr>
                <w:rFonts w:ascii="Arial" w:hAnsi="Arial" w:cs="Arial"/>
              </w:rPr>
            </w:pPr>
            <w:r w:rsidRPr="00C21AF5">
              <w:rPr>
                <w:rFonts w:ascii="Arial" w:hAnsi="Arial" w:cs="Arial"/>
              </w:rPr>
              <w:t>6.8</w:t>
            </w:r>
          </w:p>
        </w:tc>
      </w:tr>
    </w:tbl>
    <w:p w14:paraId="1A89602D" w14:textId="14FDA2D2" w:rsidR="00B9576B" w:rsidRDefault="00A9344D" w:rsidP="00830E52">
      <w:pPr>
        <w:rPr>
          <w:rFonts w:ascii="Arial" w:hAnsi="Arial" w:cs="Arial"/>
          <w:i/>
          <w:iCs/>
        </w:rPr>
      </w:pPr>
      <w:r w:rsidRPr="00C21AF5">
        <w:rPr>
          <w:rFonts w:ascii="Arial" w:hAnsi="Arial" w:cs="Arial"/>
          <w:i/>
          <w:iCs/>
        </w:rPr>
        <w:t>Source:  Census Data</w:t>
      </w:r>
      <w:r w:rsidR="00503FE4">
        <w:rPr>
          <w:rFonts w:ascii="Arial" w:hAnsi="Arial" w:cs="Arial"/>
          <w:i/>
          <w:iCs/>
        </w:rPr>
        <w:t xml:space="preserve"> </w:t>
      </w:r>
      <w:r w:rsidR="000765B1">
        <w:rPr>
          <w:rFonts w:ascii="Arial" w:hAnsi="Arial" w:cs="Arial"/>
          <w:i/>
          <w:iCs/>
        </w:rPr>
        <w:t>2021</w:t>
      </w:r>
    </w:p>
    <w:p w14:paraId="75CA1B55" w14:textId="77777777" w:rsidR="00DC6ED9" w:rsidRPr="00C21AF5" w:rsidRDefault="00DC6ED9" w:rsidP="00830E52">
      <w:pPr>
        <w:rPr>
          <w:rFonts w:ascii="Arial" w:hAnsi="Arial" w:cs="Arial"/>
          <w:i/>
          <w:iCs/>
        </w:rPr>
      </w:pPr>
    </w:p>
    <w:p w14:paraId="031DA76D" w14:textId="486C928D" w:rsidR="008A435C" w:rsidRPr="00B63FB4" w:rsidRDefault="008A435C" w:rsidP="00577C01">
      <w:pPr>
        <w:pStyle w:val="Heading1"/>
        <w:rPr>
          <w:rFonts w:ascii="Arial" w:hAnsi="Arial" w:cs="Arial"/>
          <w:b/>
          <w:bCs/>
          <w:sz w:val="22"/>
          <w:szCs w:val="22"/>
        </w:rPr>
      </w:pPr>
      <w:bookmarkStart w:id="17" w:name="_Toc156305601"/>
      <w:r w:rsidRPr="00B63FB4">
        <w:rPr>
          <w:rFonts w:ascii="Arial" w:hAnsi="Arial" w:cs="Arial"/>
          <w:b/>
          <w:bCs/>
          <w:sz w:val="22"/>
          <w:szCs w:val="22"/>
        </w:rPr>
        <w:t>Highest Qualification Achieved</w:t>
      </w:r>
      <w:bookmarkEnd w:id="17"/>
    </w:p>
    <w:tbl>
      <w:tblPr>
        <w:tblStyle w:val="TableGrid"/>
        <w:tblW w:w="0" w:type="auto"/>
        <w:tblLook w:val="04A0" w:firstRow="1" w:lastRow="0" w:firstColumn="1" w:lastColumn="0" w:noHBand="0" w:noVBand="1"/>
      </w:tblPr>
      <w:tblGrid>
        <w:gridCol w:w="4306"/>
        <w:gridCol w:w="1648"/>
        <w:gridCol w:w="850"/>
        <w:gridCol w:w="2217"/>
      </w:tblGrid>
      <w:tr w:rsidR="00C21AF5" w:rsidRPr="00C21AF5" w14:paraId="2D537468" w14:textId="77777777" w:rsidTr="00224BA5">
        <w:tc>
          <w:tcPr>
            <w:tcW w:w="4306" w:type="dxa"/>
            <w:tcBorders>
              <w:top w:val="nil"/>
              <w:left w:val="nil"/>
            </w:tcBorders>
          </w:tcPr>
          <w:p w14:paraId="756B8C49" w14:textId="77777777" w:rsidR="008A435C" w:rsidRPr="00C21AF5" w:rsidRDefault="008A435C" w:rsidP="008A435C">
            <w:pPr>
              <w:spacing w:before="60" w:after="60"/>
              <w:rPr>
                <w:rFonts w:ascii="Arial" w:hAnsi="Arial" w:cs="Arial"/>
              </w:rPr>
            </w:pPr>
          </w:p>
        </w:tc>
        <w:tc>
          <w:tcPr>
            <w:tcW w:w="4715" w:type="dxa"/>
            <w:gridSpan w:val="3"/>
            <w:shd w:val="clear" w:color="auto" w:fill="ED7D31" w:themeFill="accent2"/>
          </w:tcPr>
          <w:p w14:paraId="35C3A310" w14:textId="367DDE5E" w:rsidR="008A435C" w:rsidRPr="00C21AF5" w:rsidRDefault="008A435C" w:rsidP="008A435C">
            <w:pPr>
              <w:spacing w:before="60" w:after="60"/>
              <w:jc w:val="center"/>
              <w:rPr>
                <w:rFonts w:ascii="Arial" w:hAnsi="Arial" w:cs="Arial"/>
                <w:b/>
                <w:bCs/>
              </w:rPr>
            </w:pPr>
            <w:r w:rsidRPr="00C21AF5">
              <w:rPr>
                <w:rFonts w:ascii="Arial" w:hAnsi="Arial" w:cs="Arial"/>
                <w:b/>
                <w:bCs/>
              </w:rPr>
              <w:t>2021</w:t>
            </w:r>
          </w:p>
        </w:tc>
      </w:tr>
      <w:tr w:rsidR="00C21AF5" w:rsidRPr="00C21AF5" w14:paraId="1D90044F" w14:textId="77777777" w:rsidTr="00224BA5">
        <w:tc>
          <w:tcPr>
            <w:tcW w:w="4306" w:type="dxa"/>
            <w:shd w:val="clear" w:color="auto" w:fill="002060"/>
          </w:tcPr>
          <w:p w14:paraId="75A57A37" w14:textId="16E7F20E" w:rsidR="008A435C" w:rsidRPr="00C21AF5" w:rsidRDefault="008A435C" w:rsidP="008A435C">
            <w:pPr>
              <w:spacing w:before="60" w:after="60"/>
              <w:jc w:val="center"/>
              <w:rPr>
                <w:rFonts w:ascii="Arial" w:hAnsi="Arial" w:cs="Arial"/>
                <w:b/>
                <w:bCs/>
              </w:rPr>
            </w:pPr>
            <w:r w:rsidRPr="00C21AF5">
              <w:rPr>
                <w:rFonts w:ascii="Arial" w:hAnsi="Arial" w:cs="Arial"/>
                <w:b/>
                <w:bCs/>
              </w:rPr>
              <w:t>Qualification Level</w:t>
            </w:r>
          </w:p>
        </w:tc>
        <w:tc>
          <w:tcPr>
            <w:tcW w:w="1648" w:type="dxa"/>
            <w:shd w:val="clear" w:color="auto" w:fill="002060"/>
          </w:tcPr>
          <w:p w14:paraId="684E9846" w14:textId="16D4D05D" w:rsidR="008A435C" w:rsidRPr="00C21AF5" w:rsidRDefault="008A435C" w:rsidP="008A435C">
            <w:pPr>
              <w:spacing w:before="60" w:after="60"/>
              <w:jc w:val="center"/>
              <w:rPr>
                <w:rFonts w:ascii="Arial" w:hAnsi="Arial" w:cs="Arial"/>
                <w:b/>
                <w:bCs/>
              </w:rPr>
            </w:pPr>
            <w:r w:rsidRPr="00C21AF5">
              <w:rPr>
                <w:rFonts w:ascii="Arial" w:hAnsi="Arial" w:cs="Arial"/>
                <w:b/>
                <w:bCs/>
              </w:rPr>
              <w:t>Number</w:t>
            </w:r>
          </w:p>
        </w:tc>
        <w:tc>
          <w:tcPr>
            <w:tcW w:w="850" w:type="dxa"/>
            <w:shd w:val="clear" w:color="auto" w:fill="002060"/>
          </w:tcPr>
          <w:p w14:paraId="2A349EDB" w14:textId="7D4A435E" w:rsidR="008A435C" w:rsidRPr="00C21AF5" w:rsidRDefault="008A435C" w:rsidP="008A435C">
            <w:pPr>
              <w:spacing w:before="60" w:after="60"/>
              <w:jc w:val="center"/>
              <w:rPr>
                <w:rFonts w:ascii="Arial" w:hAnsi="Arial" w:cs="Arial"/>
                <w:b/>
                <w:bCs/>
              </w:rPr>
            </w:pPr>
            <w:r w:rsidRPr="00C21AF5">
              <w:rPr>
                <w:rFonts w:ascii="Arial" w:hAnsi="Arial" w:cs="Arial"/>
                <w:b/>
                <w:bCs/>
              </w:rPr>
              <w:t>%</w:t>
            </w:r>
          </w:p>
        </w:tc>
        <w:tc>
          <w:tcPr>
            <w:tcW w:w="2217" w:type="dxa"/>
            <w:shd w:val="clear" w:color="auto" w:fill="002060"/>
          </w:tcPr>
          <w:p w14:paraId="3FBF00D7" w14:textId="49D46DD7" w:rsidR="008A435C" w:rsidRPr="00C21AF5" w:rsidRDefault="008A435C" w:rsidP="008A435C">
            <w:pPr>
              <w:spacing w:before="60" w:after="60"/>
              <w:jc w:val="center"/>
              <w:rPr>
                <w:rFonts w:ascii="Arial" w:hAnsi="Arial" w:cs="Arial"/>
                <w:b/>
                <w:bCs/>
              </w:rPr>
            </w:pPr>
            <w:r w:rsidRPr="00C21AF5">
              <w:rPr>
                <w:rFonts w:ascii="Arial" w:hAnsi="Arial" w:cs="Arial"/>
                <w:b/>
                <w:bCs/>
              </w:rPr>
              <w:t>Regional NSW %</w:t>
            </w:r>
          </w:p>
        </w:tc>
      </w:tr>
      <w:tr w:rsidR="00C21AF5" w:rsidRPr="00C21AF5" w14:paraId="46C16951" w14:textId="77777777" w:rsidTr="00224BA5">
        <w:tc>
          <w:tcPr>
            <w:tcW w:w="4306" w:type="dxa"/>
          </w:tcPr>
          <w:p w14:paraId="34B2B913" w14:textId="3CE6BA22" w:rsidR="008A435C" w:rsidRPr="00C21AF5" w:rsidRDefault="008A435C" w:rsidP="008A435C">
            <w:pPr>
              <w:spacing w:before="60" w:after="60"/>
              <w:rPr>
                <w:rFonts w:ascii="Arial" w:hAnsi="Arial" w:cs="Arial"/>
              </w:rPr>
            </w:pPr>
            <w:r w:rsidRPr="00C21AF5">
              <w:rPr>
                <w:rFonts w:ascii="Arial" w:hAnsi="Arial" w:cs="Arial"/>
              </w:rPr>
              <w:t>Bachelor or Higher Degree</w:t>
            </w:r>
          </w:p>
        </w:tc>
        <w:tc>
          <w:tcPr>
            <w:tcW w:w="1648" w:type="dxa"/>
          </w:tcPr>
          <w:p w14:paraId="4772CCC4" w14:textId="6594D50D" w:rsidR="008A435C" w:rsidRPr="00C21AF5" w:rsidRDefault="008A435C" w:rsidP="008A435C">
            <w:pPr>
              <w:spacing w:before="60" w:after="60"/>
              <w:jc w:val="center"/>
              <w:rPr>
                <w:rFonts w:ascii="Arial" w:hAnsi="Arial" w:cs="Arial"/>
              </w:rPr>
            </w:pPr>
            <w:r w:rsidRPr="00C21AF5">
              <w:rPr>
                <w:rFonts w:ascii="Arial" w:hAnsi="Arial" w:cs="Arial"/>
              </w:rPr>
              <w:t>1456</w:t>
            </w:r>
          </w:p>
        </w:tc>
        <w:tc>
          <w:tcPr>
            <w:tcW w:w="850" w:type="dxa"/>
          </w:tcPr>
          <w:p w14:paraId="1A266441" w14:textId="1182DB79" w:rsidR="008A435C" w:rsidRPr="00C21AF5" w:rsidRDefault="008A435C" w:rsidP="008A435C">
            <w:pPr>
              <w:spacing w:before="60" w:after="60"/>
              <w:jc w:val="center"/>
              <w:rPr>
                <w:rFonts w:ascii="Arial" w:hAnsi="Arial" w:cs="Arial"/>
              </w:rPr>
            </w:pPr>
            <w:r w:rsidRPr="00C21AF5">
              <w:rPr>
                <w:rFonts w:ascii="Arial" w:hAnsi="Arial" w:cs="Arial"/>
              </w:rPr>
              <w:t>12.0</w:t>
            </w:r>
          </w:p>
        </w:tc>
        <w:tc>
          <w:tcPr>
            <w:tcW w:w="2217" w:type="dxa"/>
          </w:tcPr>
          <w:p w14:paraId="4DE0DE6A" w14:textId="1C66054F" w:rsidR="008A435C" w:rsidRPr="00C21AF5" w:rsidRDefault="008A435C" w:rsidP="008A435C">
            <w:pPr>
              <w:spacing w:before="60" w:after="60"/>
              <w:jc w:val="center"/>
              <w:rPr>
                <w:rFonts w:ascii="Arial" w:hAnsi="Arial" w:cs="Arial"/>
              </w:rPr>
            </w:pPr>
            <w:r w:rsidRPr="00C21AF5">
              <w:rPr>
                <w:rFonts w:ascii="Arial" w:hAnsi="Arial" w:cs="Arial"/>
              </w:rPr>
              <w:t>17.8</w:t>
            </w:r>
          </w:p>
        </w:tc>
      </w:tr>
      <w:tr w:rsidR="00C21AF5" w:rsidRPr="00C21AF5" w14:paraId="0647B222" w14:textId="77777777" w:rsidTr="00224BA5">
        <w:tc>
          <w:tcPr>
            <w:tcW w:w="4306" w:type="dxa"/>
          </w:tcPr>
          <w:p w14:paraId="750FB6A0" w14:textId="4A8C080E" w:rsidR="008A435C" w:rsidRPr="00C21AF5" w:rsidRDefault="008A435C" w:rsidP="008A435C">
            <w:pPr>
              <w:spacing w:before="60" w:after="60"/>
              <w:rPr>
                <w:rFonts w:ascii="Arial" w:hAnsi="Arial" w:cs="Arial"/>
              </w:rPr>
            </w:pPr>
            <w:r w:rsidRPr="00C21AF5">
              <w:rPr>
                <w:rFonts w:ascii="Arial" w:hAnsi="Arial" w:cs="Arial"/>
              </w:rPr>
              <w:t>Advanced Diploma or Diploma</w:t>
            </w:r>
          </w:p>
        </w:tc>
        <w:tc>
          <w:tcPr>
            <w:tcW w:w="1648" w:type="dxa"/>
          </w:tcPr>
          <w:p w14:paraId="76DDFE2D" w14:textId="590A1B67" w:rsidR="008A435C" w:rsidRPr="00C21AF5" w:rsidRDefault="008A435C" w:rsidP="008A435C">
            <w:pPr>
              <w:spacing w:before="60" w:after="60"/>
              <w:jc w:val="center"/>
              <w:rPr>
                <w:rFonts w:ascii="Arial" w:hAnsi="Arial" w:cs="Arial"/>
              </w:rPr>
            </w:pPr>
            <w:r w:rsidRPr="00C21AF5">
              <w:rPr>
                <w:rFonts w:ascii="Arial" w:hAnsi="Arial" w:cs="Arial"/>
              </w:rPr>
              <w:t>841</w:t>
            </w:r>
          </w:p>
        </w:tc>
        <w:tc>
          <w:tcPr>
            <w:tcW w:w="850" w:type="dxa"/>
          </w:tcPr>
          <w:p w14:paraId="3D6CED79" w14:textId="197540D9" w:rsidR="008A435C" w:rsidRPr="00C21AF5" w:rsidRDefault="008A435C" w:rsidP="008A435C">
            <w:pPr>
              <w:spacing w:before="60" w:after="60"/>
              <w:jc w:val="center"/>
              <w:rPr>
                <w:rFonts w:ascii="Arial" w:hAnsi="Arial" w:cs="Arial"/>
              </w:rPr>
            </w:pPr>
            <w:r w:rsidRPr="00C21AF5">
              <w:rPr>
                <w:rFonts w:ascii="Arial" w:hAnsi="Arial" w:cs="Arial"/>
              </w:rPr>
              <w:t>6.9</w:t>
            </w:r>
          </w:p>
        </w:tc>
        <w:tc>
          <w:tcPr>
            <w:tcW w:w="2217" w:type="dxa"/>
          </w:tcPr>
          <w:p w14:paraId="16DF0ECE" w14:textId="5E0AF74B" w:rsidR="008A435C" w:rsidRPr="00C21AF5" w:rsidRDefault="008A435C" w:rsidP="008A435C">
            <w:pPr>
              <w:spacing w:before="60" w:after="60"/>
              <w:jc w:val="center"/>
              <w:rPr>
                <w:rFonts w:ascii="Arial" w:hAnsi="Arial" w:cs="Arial"/>
              </w:rPr>
            </w:pPr>
            <w:r w:rsidRPr="00C21AF5">
              <w:rPr>
                <w:rFonts w:ascii="Arial" w:hAnsi="Arial" w:cs="Arial"/>
              </w:rPr>
              <w:t>8.7</w:t>
            </w:r>
          </w:p>
        </w:tc>
      </w:tr>
      <w:tr w:rsidR="00C21AF5" w:rsidRPr="00C21AF5" w14:paraId="7A111E29" w14:textId="77777777" w:rsidTr="00224BA5">
        <w:tc>
          <w:tcPr>
            <w:tcW w:w="4306" w:type="dxa"/>
          </w:tcPr>
          <w:p w14:paraId="54D37CCA" w14:textId="63743816" w:rsidR="008A435C" w:rsidRPr="00C21AF5" w:rsidRDefault="008A435C" w:rsidP="008A435C">
            <w:pPr>
              <w:spacing w:before="60" w:after="60"/>
              <w:rPr>
                <w:rFonts w:ascii="Arial" w:hAnsi="Arial" w:cs="Arial"/>
              </w:rPr>
            </w:pPr>
            <w:r w:rsidRPr="00C21AF5">
              <w:rPr>
                <w:rFonts w:ascii="Arial" w:hAnsi="Arial" w:cs="Arial"/>
              </w:rPr>
              <w:t>Vocational</w:t>
            </w:r>
          </w:p>
        </w:tc>
        <w:tc>
          <w:tcPr>
            <w:tcW w:w="1648" w:type="dxa"/>
          </w:tcPr>
          <w:p w14:paraId="5067320A" w14:textId="7C02B57A" w:rsidR="008A435C" w:rsidRPr="00C21AF5" w:rsidRDefault="008A435C" w:rsidP="008A435C">
            <w:pPr>
              <w:spacing w:before="60" w:after="60"/>
              <w:jc w:val="center"/>
              <w:rPr>
                <w:rFonts w:ascii="Arial" w:hAnsi="Arial" w:cs="Arial"/>
              </w:rPr>
            </w:pPr>
            <w:r w:rsidRPr="00C21AF5">
              <w:rPr>
                <w:rFonts w:ascii="Arial" w:hAnsi="Arial" w:cs="Arial"/>
              </w:rPr>
              <w:t>2959</w:t>
            </w:r>
          </w:p>
        </w:tc>
        <w:tc>
          <w:tcPr>
            <w:tcW w:w="850" w:type="dxa"/>
          </w:tcPr>
          <w:p w14:paraId="21F78F9D" w14:textId="7FA8E988" w:rsidR="008A435C" w:rsidRPr="00C21AF5" w:rsidRDefault="008A435C" w:rsidP="008A435C">
            <w:pPr>
              <w:spacing w:before="60" w:after="60"/>
              <w:jc w:val="center"/>
              <w:rPr>
                <w:rFonts w:ascii="Arial" w:hAnsi="Arial" w:cs="Arial"/>
              </w:rPr>
            </w:pPr>
            <w:r w:rsidRPr="00C21AF5">
              <w:rPr>
                <w:rFonts w:ascii="Arial" w:hAnsi="Arial" w:cs="Arial"/>
              </w:rPr>
              <w:t>24.4</w:t>
            </w:r>
          </w:p>
        </w:tc>
        <w:tc>
          <w:tcPr>
            <w:tcW w:w="2217" w:type="dxa"/>
          </w:tcPr>
          <w:p w14:paraId="314D35AE" w14:textId="33747E15" w:rsidR="008A435C" w:rsidRPr="00C21AF5" w:rsidRDefault="008A435C" w:rsidP="008A435C">
            <w:pPr>
              <w:spacing w:before="60" w:after="60"/>
              <w:jc w:val="center"/>
              <w:rPr>
                <w:rFonts w:ascii="Arial" w:hAnsi="Arial" w:cs="Arial"/>
              </w:rPr>
            </w:pPr>
            <w:r w:rsidRPr="00C21AF5">
              <w:rPr>
                <w:rFonts w:ascii="Arial" w:hAnsi="Arial" w:cs="Arial"/>
              </w:rPr>
              <w:t>24.4</w:t>
            </w:r>
          </w:p>
        </w:tc>
      </w:tr>
      <w:tr w:rsidR="00C21AF5" w:rsidRPr="00C21AF5" w14:paraId="0A0C3670" w14:textId="77777777" w:rsidTr="00224BA5">
        <w:tc>
          <w:tcPr>
            <w:tcW w:w="4306" w:type="dxa"/>
          </w:tcPr>
          <w:p w14:paraId="5578ED55" w14:textId="625A893B" w:rsidR="008A435C" w:rsidRPr="00C21AF5" w:rsidRDefault="008A435C" w:rsidP="008A435C">
            <w:pPr>
              <w:spacing w:before="60" w:after="60"/>
              <w:rPr>
                <w:rFonts w:ascii="Arial" w:hAnsi="Arial" w:cs="Arial"/>
              </w:rPr>
            </w:pPr>
            <w:r w:rsidRPr="00C21AF5">
              <w:rPr>
                <w:rFonts w:ascii="Arial" w:hAnsi="Arial" w:cs="Arial"/>
              </w:rPr>
              <w:t>No qualification</w:t>
            </w:r>
          </w:p>
        </w:tc>
        <w:tc>
          <w:tcPr>
            <w:tcW w:w="1648" w:type="dxa"/>
          </w:tcPr>
          <w:p w14:paraId="1B35B437" w14:textId="4FC97F19" w:rsidR="008A435C" w:rsidRPr="00C21AF5" w:rsidRDefault="008A435C" w:rsidP="008A435C">
            <w:pPr>
              <w:spacing w:before="60" w:after="60"/>
              <w:jc w:val="center"/>
              <w:rPr>
                <w:rFonts w:ascii="Arial" w:hAnsi="Arial" w:cs="Arial"/>
              </w:rPr>
            </w:pPr>
            <w:r w:rsidRPr="00C21AF5">
              <w:rPr>
                <w:rFonts w:ascii="Arial" w:hAnsi="Arial" w:cs="Arial"/>
              </w:rPr>
              <w:t>5376</w:t>
            </w:r>
          </w:p>
        </w:tc>
        <w:tc>
          <w:tcPr>
            <w:tcW w:w="850" w:type="dxa"/>
          </w:tcPr>
          <w:p w14:paraId="764F6FC1" w14:textId="641B338C" w:rsidR="008A435C" w:rsidRPr="00C21AF5" w:rsidRDefault="008A435C" w:rsidP="008A435C">
            <w:pPr>
              <w:spacing w:before="60" w:after="60"/>
              <w:jc w:val="center"/>
              <w:rPr>
                <w:rFonts w:ascii="Arial" w:hAnsi="Arial" w:cs="Arial"/>
              </w:rPr>
            </w:pPr>
            <w:r w:rsidRPr="00C21AF5">
              <w:rPr>
                <w:rFonts w:ascii="Arial" w:hAnsi="Arial" w:cs="Arial"/>
              </w:rPr>
              <w:t>44.3</w:t>
            </w:r>
          </w:p>
        </w:tc>
        <w:tc>
          <w:tcPr>
            <w:tcW w:w="2217" w:type="dxa"/>
          </w:tcPr>
          <w:p w14:paraId="607F2DC8" w14:textId="348E2698" w:rsidR="008A435C" w:rsidRPr="00C21AF5" w:rsidRDefault="008A435C" w:rsidP="008A435C">
            <w:pPr>
              <w:spacing w:before="60" w:after="60"/>
              <w:jc w:val="center"/>
              <w:rPr>
                <w:rFonts w:ascii="Arial" w:hAnsi="Arial" w:cs="Arial"/>
              </w:rPr>
            </w:pPr>
            <w:r w:rsidRPr="00C21AF5">
              <w:rPr>
                <w:rFonts w:ascii="Arial" w:hAnsi="Arial" w:cs="Arial"/>
              </w:rPr>
              <w:t>39.1</w:t>
            </w:r>
          </w:p>
        </w:tc>
      </w:tr>
      <w:tr w:rsidR="00C21AF5" w:rsidRPr="00C21AF5" w14:paraId="315A9324" w14:textId="77777777" w:rsidTr="00224BA5">
        <w:tc>
          <w:tcPr>
            <w:tcW w:w="4306" w:type="dxa"/>
          </w:tcPr>
          <w:p w14:paraId="316BA4FA" w14:textId="6577FB8C" w:rsidR="008A435C" w:rsidRPr="00C21AF5" w:rsidRDefault="008A435C" w:rsidP="008A435C">
            <w:pPr>
              <w:spacing w:before="60" w:after="60"/>
              <w:rPr>
                <w:rFonts w:ascii="Arial" w:hAnsi="Arial" w:cs="Arial"/>
              </w:rPr>
            </w:pPr>
            <w:r w:rsidRPr="00C21AF5">
              <w:rPr>
                <w:rFonts w:ascii="Arial" w:hAnsi="Arial" w:cs="Arial"/>
              </w:rPr>
              <w:t>Not stated</w:t>
            </w:r>
          </w:p>
        </w:tc>
        <w:tc>
          <w:tcPr>
            <w:tcW w:w="1648" w:type="dxa"/>
          </w:tcPr>
          <w:p w14:paraId="09A4D00F" w14:textId="628EA3B8" w:rsidR="008A435C" w:rsidRPr="00C21AF5" w:rsidRDefault="008A435C" w:rsidP="008A435C">
            <w:pPr>
              <w:spacing w:before="60" w:after="60"/>
              <w:jc w:val="center"/>
              <w:rPr>
                <w:rFonts w:ascii="Arial" w:hAnsi="Arial" w:cs="Arial"/>
              </w:rPr>
            </w:pPr>
            <w:r w:rsidRPr="00C21AF5">
              <w:rPr>
                <w:rFonts w:ascii="Arial" w:hAnsi="Arial" w:cs="Arial"/>
              </w:rPr>
              <w:t>1512</w:t>
            </w:r>
          </w:p>
        </w:tc>
        <w:tc>
          <w:tcPr>
            <w:tcW w:w="850" w:type="dxa"/>
          </w:tcPr>
          <w:p w14:paraId="12CE7CA2" w14:textId="4561E209" w:rsidR="008A435C" w:rsidRPr="00C21AF5" w:rsidRDefault="008A435C" w:rsidP="008A435C">
            <w:pPr>
              <w:spacing w:before="60" w:after="60"/>
              <w:jc w:val="center"/>
              <w:rPr>
                <w:rFonts w:ascii="Arial" w:hAnsi="Arial" w:cs="Arial"/>
              </w:rPr>
            </w:pPr>
            <w:r w:rsidRPr="00C21AF5">
              <w:rPr>
                <w:rFonts w:ascii="Arial" w:hAnsi="Arial" w:cs="Arial"/>
              </w:rPr>
              <w:t>12.5</w:t>
            </w:r>
          </w:p>
        </w:tc>
        <w:tc>
          <w:tcPr>
            <w:tcW w:w="2217" w:type="dxa"/>
          </w:tcPr>
          <w:p w14:paraId="16901AA3" w14:textId="36A78D00" w:rsidR="008A435C" w:rsidRPr="00C21AF5" w:rsidRDefault="008A435C" w:rsidP="008A435C">
            <w:pPr>
              <w:spacing w:before="60" w:after="60"/>
              <w:jc w:val="center"/>
              <w:rPr>
                <w:rFonts w:ascii="Arial" w:hAnsi="Arial" w:cs="Arial"/>
              </w:rPr>
            </w:pPr>
            <w:r w:rsidRPr="00C21AF5">
              <w:rPr>
                <w:rFonts w:ascii="Arial" w:hAnsi="Arial" w:cs="Arial"/>
              </w:rPr>
              <w:t>10.0</w:t>
            </w:r>
          </w:p>
        </w:tc>
      </w:tr>
      <w:tr w:rsidR="00C21AF5" w:rsidRPr="00C21AF5" w14:paraId="05B1F915" w14:textId="77777777" w:rsidTr="00224BA5">
        <w:tc>
          <w:tcPr>
            <w:tcW w:w="4306" w:type="dxa"/>
          </w:tcPr>
          <w:p w14:paraId="4073BB52" w14:textId="5DA9FCD5" w:rsidR="008A435C" w:rsidRPr="00C21AF5" w:rsidRDefault="008A435C" w:rsidP="008A435C">
            <w:pPr>
              <w:spacing w:before="60" w:after="60"/>
              <w:rPr>
                <w:rFonts w:ascii="Arial" w:hAnsi="Arial" w:cs="Arial"/>
              </w:rPr>
            </w:pPr>
            <w:r w:rsidRPr="00C21AF5">
              <w:rPr>
                <w:rFonts w:ascii="Arial" w:hAnsi="Arial" w:cs="Arial"/>
              </w:rPr>
              <w:t>Total Persons +15 years</w:t>
            </w:r>
          </w:p>
        </w:tc>
        <w:tc>
          <w:tcPr>
            <w:tcW w:w="1648" w:type="dxa"/>
          </w:tcPr>
          <w:p w14:paraId="32E61B9F" w14:textId="00B5AC05" w:rsidR="008A435C" w:rsidRPr="00C21AF5" w:rsidRDefault="008A435C" w:rsidP="008A435C">
            <w:pPr>
              <w:spacing w:before="60" w:after="60"/>
              <w:jc w:val="center"/>
              <w:rPr>
                <w:rFonts w:ascii="Arial" w:hAnsi="Arial" w:cs="Arial"/>
              </w:rPr>
            </w:pPr>
            <w:r w:rsidRPr="00C21AF5">
              <w:rPr>
                <w:rFonts w:ascii="Arial" w:hAnsi="Arial" w:cs="Arial"/>
              </w:rPr>
              <w:t>12144</w:t>
            </w:r>
          </w:p>
        </w:tc>
        <w:tc>
          <w:tcPr>
            <w:tcW w:w="850" w:type="dxa"/>
          </w:tcPr>
          <w:p w14:paraId="40BE6CA4" w14:textId="3CE64D8B" w:rsidR="008A435C" w:rsidRPr="00C21AF5" w:rsidRDefault="008A435C" w:rsidP="008A435C">
            <w:pPr>
              <w:spacing w:before="60" w:after="60"/>
              <w:jc w:val="center"/>
              <w:rPr>
                <w:rFonts w:ascii="Arial" w:hAnsi="Arial" w:cs="Arial"/>
              </w:rPr>
            </w:pPr>
            <w:r w:rsidRPr="00C21AF5">
              <w:rPr>
                <w:rFonts w:ascii="Arial" w:hAnsi="Arial" w:cs="Arial"/>
              </w:rPr>
              <w:t>100</w:t>
            </w:r>
          </w:p>
        </w:tc>
        <w:tc>
          <w:tcPr>
            <w:tcW w:w="2217" w:type="dxa"/>
          </w:tcPr>
          <w:p w14:paraId="645AAD29" w14:textId="78025F66" w:rsidR="008A435C" w:rsidRPr="00C21AF5" w:rsidRDefault="008A435C" w:rsidP="008A435C">
            <w:pPr>
              <w:spacing w:before="60" w:after="60"/>
              <w:jc w:val="center"/>
              <w:rPr>
                <w:rFonts w:ascii="Arial" w:hAnsi="Arial" w:cs="Arial"/>
              </w:rPr>
            </w:pPr>
            <w:r w:rsidRPr="00C21AF5">
              <w:rPr>
                <w:rFonts w:ascii="Arial" w:hAnsi="Arial" w:cs="Arial"/>
              </w:rPr>
              <w:t>100</w:t>
            </w:r>
          </w:p>
        </w:tc>
      </w:tr>
    </w:tbl>
    <w:p w14:paraId="309F9F22" w14:textId="0E63DDB8" w:rsidR="005E4DE9" w:rsidRPr="00C21AF5" w:rsidRDefault="00A9344D" w:rsidP="005E4DE9">
      <w:pPr>
        <w:rPr>
          <w:rFonts w:ascii="Arial" w:hAnsi="Arial" w:cs="Arial"/>
          <w:i/>
          <w:iCs/>
        </w:rPr>
      </w:pPr>
      <w:r w:rsidRPr="00C21AF5">
        <w:rPr>
          <w:rFonts w:ascii="Arial" w:hAnsi="Arial" w:cs="Arial"/>
          <w:i/>
          <w:iCs/>
        </w:rPr>
        <w:t>Source:  Census Data</w:t>
      </w:r>
      <w:r w:rsidR="00503FE4">
        <w:rPr>
          <w:rFonts w:ascii="Arial" w:hAnsi="Arial" w:cs="Arial"/>
          <w:i/>
          <w:iCs/>
        </w:rPr>
        <w:t xml:space="preserve"> </w:t>
      </w:r>
      <w:r w:rsidR="000765B1">
        <w:rPr>
          <w:rFonts w:ascii="Arial" w:hAnsi="Arial" w:cs="Arial"/>
          <w:i/>
          <w:iCs/>
        </w:rPr>
        <w:t>2021</w:t>
      </w:r>
    </w:p>
    <w:p w14:paraId="7DFA57D1" w14:textId="0A722B13" w:rsidR="008A435C" w:rsidRPr="00C21AF5" w:rsidRDefault="00A632F9" w:rsidP="005E4DE9">
      <w:pPr>
        <w:rPr>
          <w:rFonts w:ascii="Arial" w:hAnsi="Arial" w:cs="Arial"/>
          <w:i/>
          <w:iCs/>
        </w:rPr>
      </w:pPr>
      <w:r w:rsidRPr="00C21AF5">
        <w:rPr>
          <w:rFonts w:ascii="Arial" w:hAnsi="Arial" w:cs="Arial"/>
        </w:rPr>
        <w:t>Qualifications of the population in 2021, compared to Regional NSW shows that there was a lower proportion of people holding formal qualifications (Ba</w:t>
      </w:r>
      <w:r w:rsidR="003467EE" w:rsidRPr="00C21AF5">
        <w:rPr>
          <w:rFonts w:ascii="Arial" w:hAnsi="Arial" w:cs="Arial"/>
        </w:rPr>
        <w:t>ch</w:t>
      </w:r>
      <w:r w:rsidRPr="00C21AF5">
        <w:rPr>
          <w:rFonts w:ascii="Arial" w:hAnsi="Arial" w:cs="Arial"/>
        </w:rPr>
        <w:t xml:space="preserve">elor or </w:t>
      </w:r>
      <w:r w:rsidR="00503FE4">
        <w:rPr>
          <w:rFonts w:ascii="Arial" w:hAnsi="Arial" w:cs="Arial"/>
        </w:rPr>
        <w:t>H</w:t>
      </w:r>
      <w:r w:rsidRPr="00C21AF5">
        <w:rPr>
          <w:rFonts w:ascii="Arial" w:hAnsi="Arial" w:cs="Arial"/>
        </w:rPr>
        <w:t xml:space="preserve">igher Degree; Advanced Diploma or Diploma or Vocational qualifications) and a higher proportion of people with no formal qualifications. </w:t>
      </w:r>
    </w:p>
    <w:p w14:paraId="7EF1D0C8" w14:textId="37783F4D" w:rsidR="008A435C" w:rsidRPr="00C21AF5" w:rsidRDefault="00064328" w:rsidP="00C21AF5">
      <w:pPr>
        <w:jc w:val="both"/>
        <w:rPr>
          <w:rFonts w:ascii="Arial" w:hAnsi="Arial" w:cs="Arial"/>
        </w:rPr>
      </w:pPr>
      <w:r w:rsidRPr="00C21AF5">
        <w:rPr>
          <w:rFonts w:ascii="Arial" w:hAnsi="Arial" w:cs="Arial"/>
        </w:rPr>
        <w:t>Overall</w:t>
      </w:r>
      <w:r w:rsidR="00503FE4">
        <w:rPr>
          <w:rFonts w:ascii="Arial" w:hAnsi="Arial" w:cs="Arial"/>
        </w:rPr>
        <w:t>,</w:t>
      </w:r>
      <w:r w:rsidRPr="00C21AF5">
        <w:rPr>
          <w:rFonts w:ascii="Arial" w:hAnsi="Arial" w:cs="Arial"/>
        </w:rPr>
        <w:t xml:space="preserve"> 43.3% of the population aged 15 and over held educational qualifications and 44.3% had no qualifications, compared with 50.9% and 39.1%</w:t>
      </w:r>
      <w:r w:rsidR="00503FE4">
        <w:rPr>
          <w:rFonts w:ascii="Arial" w:hAnsi="Arial" w:cs="Arial"/>
        </w:rPr>
        <w:t>,</w:t>
      </w:r>
      <w:r w:rsidRPr="00C21AF5">
        <w:rPr>
          <w:rFonts w:ascii="Arial" w:hAnsi="Arial" w:cs="Arial"/>
        </w:rPr>
        <w:t xml:space="preserve"> respectively</w:t>
      </w:r>
      <w:r w:rsidR="00503FE4">
        <w:rPr>
          <w:rFonts w:ascii="Arial" w:hAnsi="Arial" w:cs="Arial"/>
        </w:rPr>
        <w:t>,</w:t>
      </w:r>
      <w:r w:rsidRPr="00C21AF5">
        <w:rPr>
          <w:rFonts w:ascii="Arial" w:hAnsi="Arial" w:cs="Arial"/>
        </w:rPr>
        <w:t xml:space="preserve"> for Regional NSW.</w:t>
      </w:r>
    </w:p>
    <w:p w14:paraId="5399F1F2" w14:textId="44C4147F" w:rsidR="00624FA8" w:rsidRDefault="00624FA8" w:rsidP="000765B1">
      <w:pPr>
        <w:pStyle w:val="Heading1"/>
        <w:keepNext/>
        <w:keepLines/>
        <w:rPr>
          <w:rFonts w:ascii="Arial" w:hAnsi="Arial" w:cs="Arial"/>
          <w:b/>
          <w:bCs/>
          <w:sz w:val="22"/>
          <w:szCs w:val="22"/>
        </w:rPr>
      </w:pPr>
      <w:bookmarkStart w:id="18" w:name="_Toc156305602"/>
      <w:r w:rsidRPr="00C21AF5">
        <w:rPr>
          <w:rFonts w:ascii="Arial" w:hAnsi="Arial" w:cs="Arial"/>
          <w:b/>
          <w:bCs/>
          <w:sz w:val="22"/>
          <w:szCs w:val="22"/>
        </w:rPr>
        <w:lastRenderedPageBreak/>
        <w:t xml:space="preserve">Housing Stress </w:t>
      </w:r>
      <w:r w:rsidR="00C21AF5" w:rsidRPr="00C21AF5">
        <w:rPr>
          <w:rFonts w:ascii="Arial" w:hAnsi="Arial" w:cs="Arial"/>
          <w:b/>
          <w:bCs/>
          <w:sz w:val="22"/>
          <w:szCs w:val="22"/>
        </w:rPr>
        <w:t>by</w:t>
      </w:r>
      <w:r w:rsidRPr="00C21AF5">
        <w:rPr>
          <w:rFonts w:ascii="Arial" w:hAnsi="Arial" w:cs="Arial"/>
          <w:b/>
          <w:bCs/>
          <w:sz w:val="22"/>
          <w:szCs w:val="22"/>
        </w:rPr>
        <w:t xml:space="preserve"> Region</w:t>
      </w:r>
      <w:bookmarkEnd w:id="18"/>
    </w:p>
    <w:p w14:paraId="0299842E" w14:textId="77777777" w:rsidR="00DC6ED9" w:rsidRPr="000E3A77" w:rsidRDefault="00DC6ED9" w:rsidP="000765B1">
      <w:pPr>
        <w:pStyle w:val="Heading1"/>
        <w:keepNext/>
        <w:keepLines/>
        <w:rPr>
          <w:rFonts w:ascii="Arial" w:hAnsi="Arial" w:cs="Arial"/>
          <w:b/>
          <w:bCs/>
          <w:sz w:val="22"/>
          <w:szCs w:val="22"/>
        </w:rPr>
      </w:pPr>
    </w:p>
    <w:tbl>
      <w:tblPr>
        <w:tblStyle w:val="TableGrid"/>
        <w:tblW w:w="9067" w:type="dxa"/>
        <w:tblLook w:val="04A0" w:firstRow="1" w:lastRow="0" w:firstColumn="1" w:lastColumn="0" w:noHBand="0" w:noVBand="1"/>
      </w:tblPr>
      <w:tblGrid>
        <w:gridCol w:w="5240"/>
        <w:gridCol w:w="3827"/>
      </w:tblGrid>
      <w:tr w:rsidR="00C21AF5" w:rsidRPr="00C21AF5" w14:paraId="5DFEA010" w14:textId="77777777" w:rsidTr="00350D14">
        <w:tc>
          <w:tcPr>
            <w:tcW w:w="5240" w:type="dxa"/>
            <w:shd w:val="clear" w:color="auto" w:fill="002060"/>
          </w:tcPr>
          <w:p w14:paraId="53E3AA4D" w14:textId="77777777" w:rsidR="00624FA8" w:rsidRPr="00C21AF5" w:rsidRDefault="00624FA8" w:rsidP="000765B1">
            <w:pPr>
              <w:keepNext/>
              <w:keepLines/>
              <w:spacing w:before="60" w:after="60"/>
              <w:jc w:val="center"/>
              <w:rPr>
                <w:rFonts w:ascii="Arial" w:hAnsi="Arial" w:cs="Arial"/>
                <w:b/>
                <w:bCs/>
              </w:rPr>
            </w:pPr>
            <w:r w:rsidRPr="00C21AF5">
              <w:rPr>
                <w:rFonts w:ascii="Arial" w:hAnsi="Arial" w:cs="Arial"/>
                <w:b/>
                <w:bCs/>
              </w:rPr>
              <w:t>Stressed Households</w:t>
            </w:r>
          </w:p>
        </w:tc>
        <w:tc>
          <w:tcPr>
            <w:tcW w:w="3827" w:type="dxa"/>
            <w:shd w:val="clear" w:color="auto" w:fill="002060"/>
          </w:tcPr>
          <w:p w14:paraId="6009408F" w14:textId="77777777" w:rsidR="00624FA8" w:rsidRPr="00C21AF5" w:rsidRDefault="00624FA8" w:rsidP="000765B1">
            <w:pPr>
              <w:keepNext/>
              <w:keepLines/>
              <w:spacing w:before="60" w:after="60"/>
              <w:jc w:val="center"/>
              <w:rPr>
                <w:rFonts w:ascii="Arial" w:hAnsi="Arial" w:cs="Arial"/>
                <w:b/>
                <w:bCs/>
              </w:rPr>
            </w:pPr>
            <w:r w:rsidRPr="00C21AF5">
              <w:rPr>
                <w:rFonts w:ascii="Arial" w:hAnsi="Arial" w:cs="Arial"/>
                <w:b/>
                <w:bCs/>
              </w:rPr>
              <w:t>Percentile</w:t>
            </w:r>
          </w:p>
        </w:tc>
      </w:tr>
      <w:tr w:rsidR="00C21AF5" w:rsidRPr="00C21AF5" w14:paraId="164F343F" w14:textId="77777777" w:rsidTr="00350D14">
        <w:tc>
          <w:tcPr>
            <w:tcW w:w="5240" w:type="dxa"/>
          </w:tcPr>
          <w:p w14:paraId="0C4F7828" w14:textId="6215F1DA" w:rsidR="00624FA8" w:rsidRPr="00C21AF5" w:rsidRDefault="000E3A77" w:rsidP="000765B1">
            <w:pPr>
              <w:keepNext/>
              <w:keepLines/>
              <w:spacing w:before="60" w:after="60"/>
              <w:rPr>
                <w:rFonts w:ascii="Arial" w:hAnsi="Arial" w:cs="Arial"/>
                <w:b/>
                <w:bCs/>
              </w:rPr>
            </w:pPr>
            <w:r>
              <w:rPr>
                <w:rFonts w:ascii="Arial" w:hAnsi="Arial" w:cs="Arial"/>
                <w:b/>
                <w:bCs/>
              </w:rPr>
              <w:t>SVC</w:t>
            </w:r>
            <w:r w:rsidR="00624FA8" w:rsidRPr="00C21AF5">
              <w:rPr>
                <w:rFonts w:ascii="Arial" w:hAnsi="Arial" w:cs="Arial"/>
                <w:b/>
                <w:bCs/>
              </w:rPr>
              <w:t xml:space="preserve"> – average</w:t>
            </w:r>
          </w:p>
        </w:tc>
        <w:tc>
          <w:tcPr>
            <w:tcW w:w="3827" w:type="dxa"/>
          </w:tcPr>
          <w:p w14:paraId="5FC1510C" w14:textId="77777777" w:rsidR="00624FA8" w:rsidRPr="00C21AF5" w:rsidRDefault="00624FA8" w:rsidP="000765B1">
            <w:pPr>
              <w:keepNext/>
              <w:keepLines/>
              <w:spacing w:before="60" w:after="60"/>
              <w:jc w:val="center"/>
              <w:rPr>
                <w:rFonts w:ascii="Arial" w:hAnsi="Arial" w:cs="Arial"/>
                <w:b/>
                <w:bCs/>
              </w:rPr>
            </w:pPr>
            <w:r w:rsidRPr="00C21AF5">
              <w:rPr>
                <w:rFonts w:ascii="Arial" w:hAnsi="Arial" w:cs="Arial"/>
                <w:b/>
                <w:bCs/>
              </w:rPr>
              <w:t>9.6</w:t>
            </w:r>
          </w:p>
        </w:tc>
      </w:tr>
      <w:tr w:rsidR="00C21AF5" w:rsidRPr="00C21AF5" w14:paraId="72379D2A" w14:textId="77777777" w:rsidTr="00350D14">
        <w:tc>
          <w:tcPr>
            <w:tcW w:w="5240" w:type="dxa"/>
            <w:shd w:val="clear" w:color="auto" w:fill="D9E2F3" w:themeFill="accent1" w:themeFillTint="33"/>
          </w:tcPr>
          <w:p w14:paraId="7794042A" w14:textId="77777777" w:rsidR="00624FA8" w:rsidRPr="00C21AF5" w:rsidRDefault="00624FA8" w:rsidP="000765B1">
            <w:pPr>
              <w:keepNext/>
              <w:keepLines/>
              <w:spacing w:before="60" w:after="60"/>
              <w:rPr>
                <w:rFonts w:ascii="Arial" w:hAnsi="Arial" w:cs="Arial"/>
              </w:rPr>
            </w:pPr>
            <w:r w:rsidRPr="00C21AF5">
              <w:rPr>
                <w:rFonts w:ascii="Arial" w:hAnsi="Arial" w:cs="Arial"/>
              </w:rPr>
              <w:t>Adelong</w:t>
            </w:r>
          </w:p>
        </w:tc>
        <w:tc>
          <w:tcPr>
            <w:tcW w:w="3827" w:type="dxa"/>
            <w:shd w:val="clear" w:color="auto" w:fill="D9E2F3" w:themeFill="accent1" w:themeFillTint="33"/>
          </w:tcPr>
          <w:p w14:paraId="0470B0B4" w14:textId="77777777" w:rsidR="00624FA8" w:rsidRPr="00C21AF5" w:rsidRDefault="00624FA8" w:rsidP="000765B1">
            <w:pPr>
              <w:keepNext/>
              <w:keepLines/>
              <w:spacing w:before="60" w:after="60"/>
              <w:jc w:val="center"/>
              <w:rPr>
                <w:rFonts w:ascii="Arial" w:hAnsi="Arial" w:cs="Arial"/>
              </w:rPr>
            </w:pPr>
            <w:r w:rsidRPr="00C21AF5">
              <w:rPr>
                <w:rFonts w:ascii="Arial" w:hAnsi="Arial" w:cs="Arial"/>
              </w:rPr>
              <w:t>10.3</w:t>
            </w:r>
          </w:p>
        </w:tc>
      </w:tr>
      <w:tr w:rsidR="00C21AF5" w:rsidRPr="00C21AF5" w14:paraId="4401BC7D" w14:textId="77777777" w:rsidTr="00350D14">
        <w:tc>
          <w:tcPr>
            <w:tcW w:w="5240" w:type="dxa"/>
            <w:shd w:val="clear" w:color="auto" w:fill="D9E2F3" w:themeFill="accent1" w:themeFillTint="33"/>
          </w:tcPr>
          <w:p w14:paraId="5A9541CD" w14:textId="77777777" w:rsidR="00624FA8" w:rsidRPr="00C21AF5" w:rsidRDefault="00624FA8" w:rsidP="00350D14">
            <w:pPr>
              <w:spacing w:before="60" w:after="60"/>
              <w:rPr>
                <w:rFonts w:ascii="Arial" w:hAnsi="Arial" w:cs="Arial"/>
              </w:rPr>
            </w:pPr>
            <w:r w:rsidRPr="00C21AF5">
              <w:rPr>
                <w:rFonts w:ascii="Arial" w:hAnsi="Arial" w:cs="Arial"/>
              </w:rPr>
              <w:t>Batlow</w:t>
            </w:r>
          </w:p>
        </w:tc>
        <w:tc>
          <w:tcPr>
            <w:tcW w:w="3827" w:type="dxa"/>
            <w:shd w:val="clear" w:color="auto" w:fill="D9E2F3" w:themeFill="accent1" w:themeFillTint="33"/>
          </w:tcPr>
          <w:p w14:paraId="2B0A44E5" w14:textId="77777777" w:rsidR="00624FA8" w:rsidRPr="00C21AF5" w:rsidRDefault="00624FA8" w:rsidP="00350D14">
            <w:pPr>
              <w:spacing w:before="60" w:after="60"/>
              <w:jc w:val="center"/>
              <w:rPr>
                <w:rFonts w:ascii="Arial" w:hAnsi="Arial" w:cs="Arial"/>
              </w:rPr>
            </w:pPr>
            <w:r w:rsidRPr="00C21AF5">
              <w:rPr>
                <w:rFonts w:ascii="Arial" w:hAnsi="Arial" w:cs="Arial"/>
              </w:rPr>
              <w:t>12.5</w:t>
            </w:r>
          </w:p>
        </w:tc>
      </w:tr>
      <w:tr w:rsidR="00C21AF5" w:rsidRPr="00C21AF5" w14:paraId="63A06947" w14:textId="77777777" w:rsidTr="00350D14">
        <w:tc>
          <w:tcPr>
            <w:tcW w:w="5240" w:type="dxa"/>
            <w:shd w:val="clear" w:color="auto" w:fill="D9E2F3" w:themeFill="accent1" w:themeFillTint="33"/>
          </w:tcPr>
          <w:p w14:paraId="11A8E333" w14:textId="77777777" w:rsidR="00624FA8" w:rsidRPr="00C21AF5" w:rsidRDefault="00624FA8" w:rsidP="00350D14">
            <w:pPr>
              <w:spacing w:before="60" w:after="60"/>
              <w:rPr>
                <w:rFonts w:ascii="Arial" w:hAnsi="Arial" w:cs="Arial"/>
              </w:rPr>
            </w:pPr>
            <w:r w:rsidRPr="00C21AF5">
              <w:rPr>
                <w:rFonts w:ascii="Arial" w:hAnsi="Arial" w:cs="Arial"/>
              </w:rPr>
              <w:t>Tumbarumba and Khancoban</w:t>
            </w:r>
          </w:p>
        </w:tc>
        <w:tc>
          <w:tcPr>
            <w:tcW w:w="3827" w:type="dxa"/>
            <w:shd w:val="clear" w:color="auto" w:fill="D9E2F3" w:themeFill="accent1" w:themeFillTint="33"/>
          </w:tcPr>
          <w:p w14:paraId="1720E290" w14:textId="77777777" w:rsidR="00624FA8" w:rsidRPr="00C21AF5" w:rsidRDefault="00624FA8" w:rsidP="00350D14">
            <w:pPr>
              <w:spacing w:before="60" w:after="60"/>
              <w:jc w:val="center"/>
              <w:rPr>
                <w:rFonts w:ascii="Arial" w:hAnsi="Arial" w:cs="Arial"/>
              </w:rPr>
            </w:pPr>
            <w:r w:rsidRPr="00C21AF5">
              <w:rPr>
                <w:rFonts w:ascii="Arial" w:hAnsi="Arial" w:cs="Arial"/>
              </w:rPr>
              <w:t>11.5</w:t>
            </w:r>
          </w:p>
        </w:tc>
      </w:tr>
      <w:tr w:rsidR="00C21AF5" w:rsidRPr="00C21AF5" w14:paraId="700248D2" w14:textId="77777777" w:rsidTr="00350D14">
        <w:tc>
          <w:tcPr>
            <w:tcW w:w="5240" w:type="dxa"/>
            <w:shd w:val="clear" w:color="auto" w:fill="D9E2F3" w:themeFill="accent1" w:themeFillTint="33"/>
          </w:tcPr>
          <w:p w14:paraId="1BF3C720" w14:textId="77777777" w:rsidR="00624FA8" w:rsidRPr="00C21AF5" w:rsidRDefault="00624FA8" w:rsidP="00350D14">
            <w:pPr>
              <w:spacing w:before="60" w:after="60"/>
              <w:rPr>
                <w:rFonts w:ascii="Arial" w:hAnsi="Arial" w:cs="Arial"/>
              </w:rPr>
            </w:pPr>
            <w:r w:rsidRPr="00C21AF5">
              <w:rPr>
                <w:rFonts w:ascii="Arial" w:hAnsi="Arial" w:cs="Arial"/>
              </w:rPr>
              <w:t>Tumut and Talbingo</w:t>
            </w:r>
          </w:p>
        </w:tc>
        <w:tc>
          <w:tcPr>
            <w:tcW w:w="3827" w:type="dxa"/>
            <w:shd w:val="clear" w:color="auto" w:fill="D9E2F3" w:themeFill="accent1" w:themeFillTint="33"/>
          </w:tcPr>
          <w:p w14:paraId="722AD38A" w14:textId="77777777" w:rsidR="00624FA8" w:rsidRPr="00C21AF5" w:rsidRDefault="00624FA8" w:rsidP="00350D14">
            <w:pPr>
              <w:spacing w:before="60" w:after="60"/>
              <w:jc w:val="center"/>
              <w:rPr>
                <w:rFonts w:ascii="Arial" w:hAnsi="Arial" w:cs="Arial"/>
              </w:rPr>
            </w:pPr>
            <w:r w:rsidRPr="00C21AF5">
              <w:rPr>
                <w:rFonts w:ascii="Arial" w:hAnsi="Arial" w:cs="Arial"/>
              </w:rPr>
              <w:t>9.2</w:t>
            </w:r>
          </w:p>
        </w:tc>
      </w:tr>
      <w:tr w:rsidR="00C21AF5" w:rsidRPr="00C21AF5" w14:paraId="1000A44B" w14:textId="77777777" w:rsidTr="00350D14">
        <w:tc>
          <w:tcPr>
            <w:tcW w:w="5240" w:type="dxa"/>
            <w:shd w:val="clear" w:color="auto" w:fill="D9E2F3" w:themeFill="accent1" w:themeFillTint="33"/>
          </w:tcPr>
          <w:p w14:paraId="22B08B83" w14:textId="77777777" w:rsidR="00624FA8" w:rsidRPr="00C21AF5" w:rsidRDefault="00624FA8" w:rsidP="00350D14">
            <w:pPr>
              <w:spacing w:before="60" w:after="60"/>
              <w:rPr>
                <w:rFonts w:ascii="Arial" w:hAnsi="Arial" w:cs="Arial"/>
              </w:rPr>
            </w:pPr>
            <w:r w:rsidRPr="00C21AF5">
              <w:rPr>
                <w:rFonts w:ascii="Arial" w:hAnsi="Arial" w:cs="Arial"/>
              </w:rPr>
              <w:t>Tumut</w:t>
            </w:r>
          </w:p>
        </w:tc>
        <w:tc>
          <w:tcPr>
            <w:tcW w:w="3827" w:type="dxa"/>
            <w:shd w:val="clear" w:color="auto" w:fill="D9E2F3" w:themeFill="accent1" w:themeFillTint="33"/>
          </w:tcPr>
          <w:p w14:paraId="69E4F7BB" w14:textId="77777777" w:rsidR="00624FA8" w:rsidRPr="00C21AF5" w:rsidRDefault="00624FA8" w:rsidP="00350D14">
            <w:pPr>
              <w:spacing w:before="60" w:after="60"/>
              <w:jc w:val="center"/>
              <w:rPr>
                <w:rFonts w:ascii="Arial" w:hAnsi="Arial" w:cs="Arial"/>
              </w:rPr>
            </w:pPr>
            <w:r w:rsidRPr="00C21AF5">
              <w:rPr>
                <w:rFonts w:ascii="Arial" w:hAnsi="Arial" w:cs="Arial"/>
              </w:rPr>
              <w:t>2.6</w:t>
            </w:r>
          </w:p>
        </w:tc>
      </w:tr>
      <w:tr w:rsidR="00C21AF5" w:rsidRPr="00C21AF5" w14:paraId="1B28BB39" w14:textId="77777777" w:rsidTr="00350D14">
        <w:tc>
          <w:tcPr>
            <w:tcW w:w="5240" w:type="dxa"/>
            <w:shd w:val="clear" w:color="auto" w:fill="D9E2F3" w:themeFill="accent1" w:themeFillTint="33"/>
          </w:tcPr>
          <w:p w14:paraId="03AB7F2E" w14:textId="77777777" w:rsidR="00624FA8" w:rsidRPr="00C21AF5" w:rsidRDefault="00624FA8" w:rsidP="00350D14">
            <w:pPr>
              <w:spacing w:before="60" w:after="60"/>
              <w:rPr>
                <w:rFonts w:ascii="Arial" w:hAnsi="Arial" w:cs="Arial"/>
              </w:rPr>
            </w:pPr>
            <w:r w:rsidRPr="00C21AF5">
              <w:rPr>
                <w:rFonts w:ascii="Arial" w:hAnsi="Arial" w:cs="Arial"/>
              </w:rPr>
              <w:t>Tumut and Surrounds</w:t>
            </w:r>
          </w:p>
        </w:tc>
        <w:tc>
          <w:tcPr>
            <w:tcW w:w="3827" w:type="dxa"/>
            <w:shd w:val="clear" w:color="auto" w:fill="D9E2F3" w:themeFill="accent1" w:themeFillTint="33"/>
          </w:tcPr>
          <w:p w14:paraId="653AC872" w14:textId="77777777" w:rsidR="00624FA8" w:rsidRPr="00C21AF5" w:rsidRDefault="00624FA8" w:rsidP="00350D14">
            <w:pPr>
              <w:spacing w:before="60" w:after="60"/>
              <w:jc w:val="center"/>
              <w:rPr>
                <w:rFonts w:ascii="Arial" w:hAnsi="Arial" w:cs="Arial"/>
              </w:rPr>
            </w:pPr>
            <w:r w:rsidRPr="00C21AF5">
              <w:rPr>
                <w:rFonts w:ascii="Arial" w:hAnsi="Arial" w:cs="Arial"/>
              </w:rPr>
              <w:t>7.91</w:t>
            </w:r>
          </w:p>
        </w:tc>
      </w:tr>
      <w:tr w:rsidR="00C21AF5" w:rsidRPr="00C21AF5" w14:paraId="79CC5932" w14:textId="77777777" w:rsidTr="00350D14">
        <w:tc>
          <w:tcPr>
            <w:tcW w:w="5240" w:type="dxa"/>
          </w:tcPr>
          <w:p w14:paraId="04A32C36" w14:textId="77777777" w:rsidR="00624FA8" w:rsidRPr="00C21AF5" w:rsidRDefault="00624FA8" w:rsidP="00350D14">
            <w:pPr>
              <w:spacing w:before="60" w:after="60"/>
              <w:rPr>
                <w:rFonts w:ascii="Arial" w:hAnsi="Arial" w:cs="Arial"/>
                <w:b/>
                <w:bCs/>
              </w:rPr>
            </w:pPr>
            <w:r w:rsidRPr="00C21AF5">
              <w:rPr>
                <w:rFonts w:ascii="Arial" w:hAnsi="Arial" w:cs="Arial"/>
                <w:b/>
                <w:bCs/>
              </w:rPr>
              <w:t>Canberra Region</w:t>
            </w:r>
          </w:p>
        </w:tc>
        <w:tc>
          <w:tcPr>
            <w:tcW w:w="3827" w:type="dxa"/>
          </w:tcPr>
          <w:p w14:paraId="02E3D76E" w14:textId="77777777" w:rsidR="00624FA8" w:rsidRPr="00C21AF5" w:rsidRDefault="00624FA8" w:rsidP="00350D14">
            <w:pPr>
              <w:spacing w:before="60" w:after="60"/>
              <w:jc w:val="center"/>
              <w:rPr>
                <w:rFonts w:ascii="Arial" w:hAnsi="Arial" w:cs="Arial"/>
                <w:b/>
                <w:bCs/>
              </w:rPr>
            </w:pPr>
            <w:r w:rsidRPr="00C21AF5">
              <w:rPr>
                <w:rFonts w:ascii="Arial" w:hAnsi="Arial" w:cs="Arial"/>
                <w:b/>
                <w:bCs/>
              </w:rPr>
              <w:t>12.8</w:t>
            </w:r>
          </w:p>
        </w:tc>
      </w:tr>
      <w:tr w:rsidR="00C21AF5" w:rsidRPr="00C21AF5" w14:paraId="78CE6007" w14:textId="77777777" w:rsidTr="00350D14">
        <w:tc>
          <w:tcPr>
            <w:tcW w:w="5240" w:type="dxa"/>
          </w:tcPr>
          <w:p w14:paraId="2F86C2E3" w14:textId="77777777" w:rsidR="00624FA8" w:rsidRPr="00C21AF5" w:rsidRDefault="00624FA8" w:rsidP="00350D14">
            <w:pPr>
              <w:spacing w:before="60" w:after="60"/>
              <w:rPr>
                <w:rFonts w:ascii="Arial" w:hAnsi="Arial" w:cs="Arial"/>
              </w:rPr>
            </w:pPr>
            <w:r w:rsidRPr="00C21AF5">
              <w:rPr>
                <w:rFonts w:ascii="Arial" w:hAnsi="Arial" w:cs="Arial"/>
              </w:rPr>
              <w:t>Regional NSW</w:t>
            </w:r>
          </w:p>
        </w:tc>
        <w:tc>
          <w:tcPr>
            <w:tcW w:w="3827" w:type="dxa"/>
          </w:tcPr>
          <w:p w14:paraId="5FEF4246" w14:textId="77777777" w:rsidR="00624FA8" w:rsidRPr="00C21AF5" w:rsidRDefault="00624FA8" w:rsidP="00350D14">
            <w:pPr>
              <w:spacing w:before="60" w:after="60"/>
              <w:jc w:val="center"/>
              <w:rPr>
                <w:rFonts w:ascii="Arial" w:hAnsi="Arial" w:cs="Arial"/>
              </w:rPr>
            </w:pPr>
            <w:r w:rsidRPr="00C21AF5">
              <w:rPr>
                <w:rFonts w:ascii="Arial" w:hAnsi="Arial" w:cs="Arial"/>
              </w:rPr>
              <w:t>12.7</w:t>
            </w:r>
          </w:p>
        </w:tc>
      </w:tr>
      <w:tr w:rsidR="00C21AF5" w:rsidRPr="00C21AF5" w14:paraId="234E51C4" w14:textId="77777777" w:rsidTr="00350D14">
        <w:tc>
          <w:tcPr>
            <w:tcW w:w="5240" w:type="dxa"/>
          </w:tcPr>
          <w:p w14:paraId="2046DC43" w14:textId="77777777" w:rsidR="00624FA8" w:rsidRPr="00C21AF5" w:rsidRDefault="00624FA8" w:rsidP="00350D14">
            <w:pPr>
              <w:spacing w:before="60" w:after="60"/>
              <w:rPr>
                <w:rFonts w:ascii="Arial" w:hAnsi="Arial" w:cs="Arial"/>
              </w:rPr>
            </w:pPr>
            <w:r w:rsidRPr="00C21AF5">
              <w:rPr>
                <w:rFonts w:ascii="Arial" w:hAnsi="Arial" w:cs="Arial"/>
              </w:rPr>
              <w:t>NSW</w:t>
            </w:r>
          </w:p>
        </w:tc>
        <w:tc>
          <w:tcPr>
            <w:tcW w:w="3827" w:type="dxa"/>
          </w:tcPr>
          <w:p w14:paraId="597CC995" w14:textId="77777777" w:rsidR="00624FA8" w:rsidRPr="00C21AF5" w:rsidRDefault="00624FA8" w:rsidP="00350D14">
            <w:pPr>
              <w:spacing w:before="60" w:after="60"/>
              <w:jc w:val="center"/>
              <w:rPr>
                <w:rFonts w:ascii="Arial" w:hAnsi="Arial" w:cs="Arial"/>
              </w:rPr>
            </w:pPr>
            <w:r w:rsidRPr="00C21AF5">
              <w:rPr>
                <w:rFonts w:ascii="Arial" w:hAnsi="Arial" w:cs="Arial"/>
              </w:rPr>
              <w:t>17.3</w:t>
            </w:r>
          </w:p>
        </w:tc>
      </w:tr>
      <w:tr w:rsidR="00C21AF5" w:rsidRPr="00C21AF5" w14:paraId="0C72BDC9" w14:textId="77777777" w:rsidTr="00350D14">
        <w:tc>
          <w:tcPr>
            <w:tcW w:w="5240" w:type="dxa"/>
          </w:tcPr>
          <w:p w14:paraId="0EA3909E" w14:textId="77777777" w:rsidR="00624FA8" w:rsidRPr="00C21AF5" w:rsidRDefault="00624FA8" w:rsidP="00350D14">
            <w:pPr>
              <w:spacing w:before="60" w:after="60"/>
              <w:rPr>
                <w:rFonts w:ascii="Arial" w:hAnsi="Arial" w:cs="Arial"/>
                <w:b/>
                <w:bCs/>
              </w:rPr>
            </w:pPr>
            <w:r w:rsidRPr="00C21AF5">
              <w:rPr>
                <w:rFonts w:ascii="Arial" w:hAnsi="Arial" w:cs="Arial"/>
                <w:b/>
                <w:bCs/>
              </w:rPr>
              <w:t>Australia</w:t>
            </w:r>
          </w:p>
        </w:tc>
        <w:tc>
          <w:tcPr>
            <w:tcW w:w="3827" w:type="dxa"/>
          </w:tcPr>
          <w:p w14:paraId="33EFAAA8" w14:textId="77777777" w:rsidR="00624FA8" w:rsidRPr="00C21AF5" w:rsidRDefault="00624FA8" w:rsidP="00350D14">
            <w:pPr>
              <w:spacing w:before="60" w:after="60"/>
              <w:jc w:val="center"/>
              <w:rPr>
                <w:rFonts w:ascii="Arial" w:hAnsi="Arial" w:cs="Arial"/>
                <w:b/>
                <w:bCs/>
              </w:rPr>
            </w:pPr>
            <w:r w:rsidRPr="00C21AF5">
              <w:rPr>
                <w:rFonts w:ascii="Arial" w:hAnsi="Arial" w:cs="Arial"/>
                <w:b/>
                <w:bCs/>
              </w:rPr>
              <w:t>14.5</w:t>
            </w:r>
          </w:p>
        </w:tc>
      </w:tr>
    </w:tbl>
    <w:p w14:paraId="52ECAF25" w14:textId="02E4FB14" w:rsidR="00624FA8" w:rsidRPr="000E3A77" w:rsidRDefault="00624FA8" w:rsidP="000E3A77">
      <w:pPr>
        <w:rPr>
          <w:rFonts w:ascii="Arial" w:hAnsi="Arial" w:cs="Arial"/>
          <w:i/>
          <w:iCs/>
        </w:rPr>
      </w:pPr>
      <w:r w:rsidRPr="00C21AF5">
        <w:rPr>
          <w:rFonts w:ascii="Arial" w:hAnsi="Arial" w:cs="Arial"/>
          <w:i/>
          <w:iCs/>
        </w:rPr>
        <w:t>Source:  Census Data</w:t>
      </w:r>
      <w:r w:rsidR="00503FE4">
        <w:rPr>
          <w:rFonts w:ascii="Arial" w:hAnsi="Arial" w:cs="Arial"/>
          <w:i/>
          <w:iCs/>
        </w:rPr>
        <w:t xml:space="preserve"> </w:t>
      </w:r>
      <w:r w:rsidR="000765B1">
        <w:rPr>
          <w:rFonts w:ascii="Arial" w:hAnsi="Arial" w:cs="Arial"/>
          <w:i/>
          <w:iCs/>
        </w:rPr>
        <w:t>2021</w:t>
      </w:r>
    </w:p>
    <w:p w14:paraId="5D0801F2" w14:textId="2299238F" w:rsidR="00624FA8" w:rsidRPr="00863710" w:rsidRDefault="00624FA8" w:rsidP="00624FA8">
      <w:pPr>
        <w:jc w:val="both"/>
        <w:rPr>
          <w:rFonts w:ascii="Arial" w:hAnsi="Arial" w:cs="Arial"/>
          <w:i/>
          <w:iCs/>
        </w:rPr>
      </w:pPr>
      <w:r w:rsidRPr="00863710">
        <w:rPr>
          <w:rFonts w:ascii="Arial" w:hAnsi="Arial" w:cs="Arial"/>
        </w:rPr>
        <w:t xml:space="preserve">A household is considered in housing stress if housing costs such as mortgage repayments or rent are more than 30% of the household disposable income and the household is in the bottom 40% of the equivalised income distribution. </w:t>
      </w:r>
      <w:r w:rsidRPr="00863710">
        <w:rPr>
          <w:rFonts w:ascii="Arial" w:hAnsi="Arial" w:cs="Arial"/>
          <w:i/>
          <w:iCs/>
        </w:rPr>
        <w:t>(</w:t>
      </w:r>
      <w:r w:rsidR="00E43CB7" w:rsidRPr="00863710">
        <w:rPr>
          <w:rFonts w:ascii="Arial" w:hAnsi="Arial" w:cs="Arial"/>
          <w:i/>
          <w:iCs/>
        </w:rPr>
        <w:t>Source</w:t>
      </w:r>
      <w:r w:rsidRPr="00863710">
        <w:rPr>
          <w:rFonts w:ascii="Arial" w:hAnsi="Arial" w:cs="Arial"/>
          <w:i/>
          <w:iCs/>
        </w:rPr>
        <w:t>: Australian Government | Australian Institute of Health and Welfare)</w:t>
      </w:r>
    </w:p>
    <w:p w14:paraId="173F8326" w14:textId="749BCD4A" w:rsidR="00624FA8" w:rsidRPr="00863710" w:rsidRDefault="00624FA8" w:rsidP="00624FA8">
      <w:pPr>
        <w:jc w:val="both"/>
        <w:rPr>
          <w:rFonts w:ascii="Arial" w:hAnsi="Arial" w:cs="Arial"/>
        </w:rPr>
      </w:pPr>
      <w:r w:rsidRPr="00863710">
        <w:rPr>
          <w:rFonts w:ascii="Arial" w:hAnsi="Arial" w:cs="Arial"/>
        </w:rPr>
        <w:t xml:space="preserve">It is identified that the number of households experiencing housing stress within </w:t>
      </w:r>
      <w:r w:rsidR="001012FC">
        <w:rPr>
          <w:rFonts w:ascii="Arial" w:hAnsi="Arial" w:cs="Arial"/>
        </w:rPr>
        <w:t>the LGA</w:t>
      </w:r>
      <w:r w:rsidRPr="00863710">
        <w:rPr>
          <w:rFonts w:ascii="Arial" w:hAnsi="Arial" w:cs="Arial"/>
        </w:rPr>
        <w:t xml:space="preserve"> is, on average 9.6%, however Batlow is just short of Regional NSW’s average of 12.5%</w:t>
      </w:r>
      <w:r w:rsidR="00503FE4">
        <w:rPr>
          <w:rFonts w:ascii="Arial" w:hAnsi="Arial" w:cs="Arial"/>
        </w:rPr>
        <w:t>.</w:t>
      </w:r>
    </w:p>
    <w:p w14:paraId="7A97014C" w14:textId="58EB1CB1" w:rsidR="00624FA8" w:rsidRPr="00863710" w:rsidRDefault="00863710" w:rsidP="00624FA8">
      <w:pPr>
        <w:jc w:val="both"/>
        <w:rPr>
          <w:rFonts w:ascii="Arial" w:hAnsi="Arial" w:cs="Arial"/>
        </w:rPr>
      </w:pPr>
      <w:r w:rsidRPr="00863710">
        <w:rPr>
          <w:rFonts w:ascii="Arial" w:hAnsi="Arial" w:cs="Arial"/>
        </w:rPr>
        <w:t>It is important to n</w:t>
      </w:r>
      <w:r w:rsidR="00624FA8" w:rsidRPr="00863710">
        <w:rPr>
          <w:rFonts w:ascii="Arial" w:hAnsi="Arial" w:cs="Arial"/>
        </w:rPr>
        <w:t>ote that at the time of data collection</w:t>
      </w:r>
      <w:r w:rsidR="00503FE4">
        <w:rPr>
          <w:rFonts w:ascii="Arial" w:hAnsi="Arial" w:cs="Arial"/>
        </w:rPr>
        <w:t>,</w:t>
      </w:r>
      <w:r w:rsidR="00624FA8" w:rsidRPr="00863710">
        <w:rPr>
          <w:rFonts w:ascii="Arial" w:hAnsi="Arial" w:cs="Arial"/>
        </w:rPr>
        <w:t xml:space="preserve"> interest rates at the 2021 Census were at a record low within Australia, with the first interest rate rises by the Reserve Bank beg</w:t>
      </w:r>
      <w:r w:rsidR="00503FE4">
        <w:rPr>
          <w:rFonts w:ascii="Arial" w:hAnsi="Arial" w:cs="Arial"/>
        </w:rPr>
        <w:t>inning</w:t>
      </w:r>
      <w:r w:rsidR="00624FA8" w:rsidRPr="00863710">
        <w:rPr>
          <w:rFonts w:ascii="Arial" w:hAnsi="Arial" w:cs="Arial"/>
        </w:rPr>
        <w:t xml:space="preserve"> an upward trend from May 2022.</w:t>
      </w:r>
    </w:p>
    <w:p w14:paraId="37DC63C8" w14:textId="77777777" w:rsidR="00624FA8" w:rsidRDefault="00624FA8">
      <w:pPr>
        <w:rPr>
          <w:rFonts w:ascii="Arial" w:hAnsi="Arial" w:cs="Arial"/>
        </w:rPr>
      </w:pPr>
    </w:p>
    <w:p w14:paraId="44A968D8" w14:textId="77777777" w:rsidR="00C21AF5" w:rsidRDefault="00C21AF5">
      <w:pPr>
        <w:rPr>
          <w:rFonts w:ascii="Arial" w:hAnsi="Arial" w:cs="Arial"/>
        </w:rPr>
      </w:pPr>
    </w:p>
    <w:p w14:paraId="4E71E586" w14:textId="77777777" w:rsidR="00863710" w:rsidRPr="00C21AF5" w:rsidRDefault="00863710">
      <w:pPr>
        <w:rPr>
          <w:rFonts w:ascii="Arial" w:hAnsi="Arial" w:cs="Arial"/>
        </w:rPr>
      </w:pPr>
    </w:p>
    <w:p w14:paraId="72208631" w14:textId="5B52771B" w:rsidR="00961FBE" w:rsidRDefault="009D710D" w:rsidP="000E3A77">
      <w:pPr>
        <w:pStyle w:val="Heading1"/>
        <w:keepNext/>
        <w:keepLines/>
        <w:rPr>
          <w:rFonts w:ascii="Arial" w:hAnsi="Arial" w:cs="Arial"/>
          <w:b/>
          <w:bCs/>
          <w:sz w:val="22"/>
          <w:szCs w:val="22"/>
        </w:rPr>
      </w:pPr>
      <w:bookmarkStart w:id="19" w:name="_Toc156305603"/>
      <w:r w:rsidRPr="00C21AF5">
        <w:rPr>
          <w:rFonts w:ascii="Arial" w:hAnsi="Arial" w:cs="Arial"/>
          <w:b/>
          <w:bCs/>
          <w:sz w:val="22"/>
          <w:szCs w:val="22"/>
        </w:rPr>
        <w:lastRenderedPageBreak/>
        <w:t>Household Stress</w:t>
      </w:r>
      <w:bookmarkEnd w:id="19"/>
    </w:p>
    <w:p w14:paraId="5E6D8778" w14:textId="77777777" w:rsidR="00DC6ED9" w:rsidRPr="000E3A77" w:rsidRDefault="00DC6ED9" w:rsidP="000E3A77">
      <w:pPr>
        <w:pStyle w:val="Heading1"/>
        <w:keepNext/>
        <w:keepLines/>
        <w:rPr>
          <w:rFonts w:ascii="Arial" w:hAnsi="Arial" w:cs="Arial"/>
          <w:b/>
          <w:bCs/>
          <w:sz w:val="22"/>
          <w:szCs w:val="22"/>
        </w:rPr>
      </w:pPr>
    </w:p>
    <w:p w14:paraId="46AFE8B2" w14:textId="6B5098BF" w:rsidR="00FA5DA4" w:rsidRPr="002E0D67" w:rsidRDefault="009D710D" w:rsidP="00BB1999">
      <w:pPr>
        <w:keepNext/>
        <w:keepLines/>
        <w:rPr>
          <w:rFonts w:ascii="Arial" w:hAnsi="Arial" w:cs="Arial"/>
          <w:i/>
          <w:iCs/>
        </w:rPr>
      </w:pPr>
      <w:r w:rsidRPr="002E0D67">
        <w:rPr>
          <w:rFonts w:ascii="Arial" w:hAnsi="Arial" w:cs="Arial"/>
          <w:b/>
          <w:noProof/>
          <w:color w:val="404142"/>
          <w:spacing w:val="-2"/>
        </w:rPr>
        <w:drawing>
          <wp:inline distT="0" distB="0" distL="0" distR="0" wp14:anchorId="7CA444F6" wp14:editId="7756DB7E">
            <wp:extent cx="5794744" cy="3423684"/>
            <wp:effectExtent l="0" t="0" r="15875" b="5715"/>
            <wp:docPr id="2979819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9344D" w:rsidRPr="002E0D67">
        <w:rPr>
          <w:rFonts w:ascii="Arial" w:hAnsi="Arial" w:cs="Arial"/>
          <w:i/>
          <w:iCs/>
        </w:rPr>
        <w:t>Source:  Census Data</w:t>
      </w:r>
      <w:r w:rsidR="00503FE4">
        <w:rPr>
          <w:rFonts w:ascii="Arial" w:hAnsi="Arial" w:cs="Arial"/>
          <w:i/>
          <w:iCs/>
        </w:rPr>
        <w:t xml:space="preserve"> </w:t>
      </w:r>
      <w:r w:rsidR="000765B1">
        <w:rPr>
          <w:rFonts w:ascii="Arial" w:hAnsi="Arial" w:cs="Arial"/>
          <w:i/>
          <w:iCs/>
        </w:rPr>
        <w:t>2021</w:t>
      </w:r>
    </w:p>
    <w:p w14:paraId="2E208725" w14:textId="77777777" w:rsidR="004D5C6E" w:rsidRPr="00C21AF5" w:rsidRDefault="004D5C6E" w:rsidP="00FA5DA4">
      <w:pPr>
        <w:rPr>
          <w:rFonts w:ascii="Arial" w:hAnsi="Arial" w:cs="Arial"/>
          <w:b/>
          <w:bCs/>
          <w:color w:val="404142"/>
        </w:rPr>
      </w:pPr>
    </w:p>
    <w:p w14:paraId="69A11C2D" w14:textId="79EA24E6" w:rsidR="00FA5DA4" w:rsidRPr="00C21AF5" w:rsidRDefault="00FA5DA4" w:rsidP="00B63FB4">
      <w:pPr>
        <w:pStyle w:val="Heading1"/>
        <w:rPr>
          <w:rFonts w:ascii="Arial" w:hAnsi="Arial" w:cs="Arial"/>
          <w:b/>
          <w:bCs/>
          <w:sz w:val="22"/>
          <w:szCs w:val="22"/>
        </w:rPr>
      </w:pPr>
      <w:bookmarkStart w:id="20" w:name="_Toc156305604"/>
      <w:r w:rsidRPr="00C21AF5">
        <w:rPr>
          <w:rFonts w:ascii="Arial" w:hAnsi="Arial" w:cs="Arial"/>
          <w:b/>
          <w:bCs/>
          <w:sz w:val="22"/>
          <w:szCs w:val="22"/>
        </w:rPr>
        <w:t>Overall Mortgage Payments</w:t>
      </w:r>
      <w:bookmarkEnd w:id="20"/>
    </w:p>
    <w:p w14:paraId="1E6DDE22" w14:textId="13CCCF04" w:rsidR="002375E0" w:rsidRPr="002E0D67" w:rsidRDefault="002375E0" w:rsidP="00B63FB4">
      <w:pPr>
        <w:rPr>
          <w:rFonts w:ascii="Arial" w:hAnsi="Arial" w:cs="Arial"/>
          <w:i/>
          <w:iCs/>
        </w:rPr>
      </w:pPr>
      <w:r w:rsidRPr="002E0D67">
        <w:rPr>
          <w:rFonts w:ascii="Arial" w:hAnsi="Arial" w:cs="Arial"/>
          <w:noProof/>
        </w:rPr>
        <w:drawing>
          <wp:inline distT="0" distB="0" distL="0" distR="0" wp14:anchorId="30C0530E" wp14:editId="6E2FC10B">
            <wp:extent cx="5826642" cy="3327991"/>
            <wp:effectExtent l="0" t="0" r="3175" b="6350"/>
            <wp:docPr id="15963657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21" w:name="_Hlk149644439"/>
      <w:r w:rsidR="00A9344D" w:rsidRPr="002E0D67">
        <w:rPr>
          <w:rFonts w:ascii="Arial" w:hAnsi="Arial" w:cs="Arial"/>
          <w:i/>
          <w:iCs/>
        </w:rPr>
        <w:t>Source:  Census Data</w:t>
      </w:r>
      <w:bookmarkEnd w:id="21"/>
      <w:r w:rsidR="00503FE4">
        <w:rPr>
          <w:rFonts w:ascii="Arial" w:hAnsi="Arial" w:cs="Arial"/>
          <w:i/>
          <w:iCs/>
        </w:rPr>
        <w:t xml:space="preserve"> </w:t>
      </w:r>
      <w:r w:rsidR="000765B1">
        <w:rPr>
          <w:rFonts w:ascii="Arial" w:hAnsi="Arial" w:cs="Arial"/>
          <w:i/>
          <w:iCs/>
        </w:rPr>
        <w:t>2021</w:t>
      </w:r>
    </w:p>
    <w:p w14:paraId="50042271" w14:textId="49F0518F" w:rsidR="00FA5DA4" w:rsidRPr="00863710" w:rsidRDefault="00FA5DA4" w:rsidP="00B63FB4">
      <w:pPr>
        <w:pStyle w:val="Heading1"/>
        <w:keepNext/>
        <w:rPr>
          <w:rFonts w:ascii="Arial" w:hAnsi="Arial" w:cs="Arial"/>
          <w:b/>
          <w:bCs/>
          <w:sz w:val="22"/>
          <w:szCs w:val="22"/>
        </w:rPr>
      </w:pPr>
      <w:bookmarkStart w:id="22" w:name="_Toc156305605"/>
      <w:r w:rsidRPr="00863710">
        <w:rPr>
          <w:rFonts w:ascii="Arial" w:hAnsi="Arial" w:cs="Arial"/>
          <w:b/>
          <w:bCs/>
          <w:sz w:val="22"/>
          <w:szCs w:val="22"/>
        </w:rPr>
        <w:lastRenderedPageBreak/>
        <w:t>Median Weekly and Median Monthly Mortgage Payments</w:t>
      </w:r>
      <w:bookmarkEnd w:id="22"/>
    </w:p>
    <w:p w14:paraId="20FE1F51" w14:textId="77777777" w:rsidR="00FA5DA4" w:rsidRPr="002E0D67" w:rsidRDefault="00FA5DA4" w:rsidP="00B63FB4">
      <w:pPr>
        <w:keepNext/>
        <w:rPr>
          <w:rFonts w:ascii="Arial" w:hAnsi="Arial" w:cs="Arial"/>
        </w:rPr>
      </w:pPr>
    </w:p>
    <w:p w14:paraId="54BC5D2C" w14:textId="1B1D9C38" w:rsidR="00A9344D" w:rsidRPr="002E0D67" w:rsidRDefault="003B21CE" w:rsidP="00B63FB4">
      <w:pPr>
        <w:keepNext/>
        <w:rPr>
          <w:rFonts w:ascii="Arial" w:hAnsi="Arial" w:cs="Arial"/>
        </w:rPr>
      </w:pPr>
      <w:r w:rsidRPr="002E0D67">
        <w:rPr>
          <w:rFonts w:ascii="Arial" w:hAnsi="Arial" w:cs="Arial"/>
          <w:noProof/>
        </w:rPr>
        <w:drawing>
          <wp:inline distT="0" distB="0" distL="0" distR="0" wp14:anchorId="5AAD8566" wp14:editId="35F41D11">
            <wp:extent cx="5752214" cy="3381154"/>
            <wp:effectExtent l="0" t="0" r="1270" b="10160"/>
            <wp:docPr id="14966170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9344D" w:rsidRPr="002E0D67">
        <w:rPr>
          <w:rFonts w:ascii="Arial" w:hAnsi="Arial" w:cs="Arial"/>
          <w:i/>
          <w:iCs/>
        </w:rPr>
        <w:t>Source:  Census Data</w:t>
      </w:r>
      <w:r w:rsidR="0066779B">
        <w:rPr>
          <w:rFonts w:ascii="Arial" w:hAnsi="Arial" w:cs="Arial"/>
          <w:i/>
          <w:iCs/>
        </w:rPr>
        <w:t xml:space="preserve"> </w:t>
      </w:r>
      <w:r w:rsidR="000765B1">
        <w:rPr>
          <w:rFonts w:ascii="Arial" w:hAnsi="Arial" w:cs="Arial"/>
          <w:i/>
          <w:iCs/>
        </w:rPr>
        <w:t>2021</w:t>
      </w:r>
    </w:p>
    <w:p w14:paraId="2B717B19" w14:textId="6DDC09DC" w:rsidR="005C0138" w:rsidRPr="002E0D67" w:rsidRDefault="005C0138">
      <w:pPr>
        <w:rPr>
          <w:rFonts w:ascii="Arial" w:hAnsi="Arial" w:cs="Arial"/>
        </w:rPr>
      </w:pPr>
    </w:p>
    <w:p w14:paraId="43AA1292" w14:textId="77777777" w:rsidR="00CA0563" w:rsidRPr="002E0D67" w:rsidRDefault="00CA0563">
      <w:pPr>
        <w:rPr>
          <w:rFonts w:ascii="Arial" w:hAnsi="Arial" w:cs="Arial"/>
        </w:rPr>
      </w:pPr>
      <w:r w:rsidRPr="002E0D67">
        <w:rPr>
          <w:rFonts w:ascii="Arial" w:hAnsi="Arial" w:cs="Arial"/>
        </w:rPr>
        <w:br w:type="page"/>
      </w:r>
    </w:p>
    <w:p w14:paraId="2A77CF8C" w14:textId="17F8A44A" w:rsidR="00891892" w:rsidRPr="00BB1999" w:rsidRDefault="009958AC" w:rsidP="00BB1999">
      <w:pPr>
        <w:pStyle w:val="Heading1"/>
        <w:rPr>
          <w:rFonts w:ascii="Arial" w:hAnsi="Arial" w:cs="Arial"/>
          <w:b/>
          <w:bCs/>
          <w:sz w:val="22"/>
          <w:szCs w:val="22"/>
        </w:rPr>
      </w:pPr>
      <w:bookmarkStart w:id="23" w:name="_Toc156305606"/>
      <w:r w:rsidRPr="00863710">
        <w:rPr>
          <w:rFonts w:ascii="Arial" w:hAnsi="Arial" w:cs="Arial"/>
          <w:b/>
          <w:bCs/>
          <w:sz w:val="22"/>
          <w:szCs w:val="22"/>
        </w:rPr>
        <w:lastRenderedPageBreak/>
        <w:t>Industry of Employment – Persons Aged 15 Years and Over</w:t>
      </w:r>
      <w:bookmarkEnd w:id="23"/>
      <w:r w:rsidRPr="00863710">
        <w:rPr>
          <w:rFonts w:ascii="Arial" w:hAnsi="Arial" w:cs="Arial"/>
          <w:b/>
          <w:bCs/>
          <w:sz w:val="22"/>
          <w:szCs w:val="22"/>
        </w:rPr>
        <w:t xml:space="preserve"> </w:t>
      </w:r>
    </w:p>
    <w:tbl>
      <w:tblPr>
        <w:tblStyle w:val="TableGrid"/>
        <w:tblW w:w="9072" w:type="dxa"/>
        <w:tblLook w:val="04A0" w:firstRow="1" w:lastRow="0" w:firstColumn="1" w:lastColumn="0" w:noHBand="0" w:noVBand="1"/>
      </w:tblPr>
      <w:tblGrid>
        <w:gridCol w:w="6379"/>
        <w:gridCol w:w="2693"/>
      </w:tblGrid>
      <w:tr w:rsidR="009958AC" w:rsidRPr="002E0D67" w14:paraId="2901C510" w14:textId="77777777" w:rsidTr="00484F60">
        <w:tc>
          <w:tcPr>
            <w:tcW w:w="6379" w:type="dxa"/>
            <w:tcBorders>
              <w:top w:val="nil"/>
              <w:left w:val="nil"/>
            </w:tcBorders>
            <w:shd w:val="clear" w:color="auto" w:fill="auto"/>
          </w:tcPr>
          <w:p w14:paraId="3099B26B" w14:textId="77777777" w:rsidR="009958AC" w:rsidRPr="002E0D67" w:rsidRDefault="009958AC" w:rsidP="00BB1999">
            <w:pPr>
              <w:spacing w:before="60" w:after="60"/>
              <w:jc w:val="center"/>
              <w:rPr>
                <w:rFonts w:ascii="Arial" w:hAnsi="Arial" w:cs="Arial"/>
                <w:b/>
                <w:bCs/>
                <w:color w:val="FFFFFF" w:themeColor="background1"/>
              </w:rPr>
            </w:pPr>
          </w:p>
        </w:tc>
        <w:tc>
          <w:tcPr>
            <w:tcW w:w="2693" w:type="dxa"/>
            <w:shd w:val="clear" w:color="auto" w:fill="ED7D31" w:themeFill="accent2"/>
          </w:tcPr>
          <w:p w14:paraId="135E702A" w14:textId="3D4DFDF2" w:rsidR="009958AC" w:rsidRPr="002E0D67" w:rsidRDefault="009958AC" w:rsidP="00BB1999">
            <w:pPr>
              <w:spacing w:before="60" w:after="60"/>
              <w:jc w:val="center"/>
              <w:rPr>
                <w:rFonts w:ascii="Arial" w:hAnsi="Arial" w:cs="Arial"/>
                <w:b/>
                <w:bCs/>
                <w:color w:val="FFFFFF" w:themeColor="background1"/>
              </w:rPr>
            </w:pPr>
            <w:r w:rsidRPr="002E0D67">
              <w:rPr>
                <w:rFonts w:ascii="Arial" w:hAnsi="Arial" w:cs="Arial"/>
                <w:b/>
                <w:bCs/>
                <w:color w:val="FFFFFF" w:themeColor="background1"/>
              </w:rPr>
              <w:t>2021</w:t>
            </w:r>
            <w:r w:rsidR="004459AC" w:rsidRPr="002E0D67">
              <w:rPr>
                <w:rFonts w:ascii="Arial" w:hAnsi="Arial" w:cs="Arial"/>
                <w:b/>
                <w:bCs/>
                <w:color w:val="FFFFFF" w:themeColor="background1"/>
              </w:rPr>
              <w:t>/</w:t>
            </w:r>
            <w:r w:rsidR="0066779B">
              <w:rPr>
                <w:rFonts w:ascii="Arial" w:hAnsi="Arial" w:cs="Arial"/>
                <w:b/>
                <w:bCs/>
                <w:color w:val="FFFFFF" w:themeColor="background1"/>
              </w:rPr>
              <w:t>20</w:t>
            </w:r>
            <w:r w:rsidR="004459AC" w:rsidRPr="002E0D67">
              <w:rPr>
                <w:rFonts w:ascii="Arial" w:hAnsi="Arial" w:cs="Arial"/>
                <w:b/>
                <w:bCs/>
                <w:color w:val="FFFFFF" w:themeColor="background1"/>
              </w:rPr>
              <w:t>22</w:t>
            </w:r>
          </w:p>
        </w:tc>
      </w:tr>
      <w:tr w:rsidR="009958AC" w:rsidRPr="002E0D67" w14:paraId="3B69D6AE" w14:textId="77777777" w:rsidTr="00484F60">
        <w:tc>
          <w:tcPr>
            <w:tcW w:w="6379" w:type="dxa"/>
            <w:shd w:val="clear" w:color="auto" w:fill="002060"/>
          </w:tcPr>
          <w:p w14:paraId="1F85F36E" w14:textId="03605FB9" w:rsidR="009958AC" w:rsidRPr="002E0D67" w:rsidRDefault="009958AC" w:rsidP="00BB1999">
            <w:pPr>
              <w:spacing w:before="60" w:after="60"/>
              <w:jc w:val="center"/>
              <w:rPr>
                <w:rFonts w:ascii="Arial" w:hAnsi="Arial" w:cs="Arial"/>
                <w:b/>
                <w:bCs/>
                <w:color w:val="FFFFFF" w:themeColor="background1"/>
              </w:rPr>
            </w:pPr>
            <w:r w:rsidRPr="002E0D67">
              <w:rPr>
                <w:rFonts w:ascii="Arial" w:hAnsi="Arial" w:cs="Arial"/>
                <w:b/>
                <w:bCs/>
                <w:color w:val="FFFFFF" w:themeColor="background1"/>
              </w:rPr>
              <w:t>Description</w:t>
            </w:r>
          </w:p>
        </w:tc>
        <w:tc>
          <w:tcPr>
            <w:tcW w:w="2693" w:type="dxa"/>
            <w:shd w:val="clear" w:color="auto" w:fill="002060"/>
          </w:tcPr>
          <w:p w14:paraId="70D87768" w14:textId="1A04E88E" w:rsidR="009958AC" w:rsidRPr="002E0D67" w:rsidRDefault="009958AC" w:rsidP="00BB1999">
            <w:pPr>
              <w:spacing w:before="60" w:after="60"/>
              <w:jc w:val="center"/>
              <w:rPr>
                <w:rFonts w:ascii="Arial" w:hAnsi="Arial" w:cs="Arial"/>
                <w:b/>
                <w:bCs/>
                <w:color w:val="FFFFFF" w:themeColor="background1"/>
              </w:rPr>
            </w:pPr>
            <w:r w:rsidRPr="002E0D67">
              <w:rPr>
                <w:rFonts w:ascii="Arial" w:hAnsi="Arial" w:cs="Arial"/>
                <w:b/>
                <w:bCs/>
                <w:color w:val="FFFFFF" w:themeColor="background1"/>
              </w:rPr>
              <w:t>%</w:t>
            </w:r>
          </w:p>
        </w:tc>
      </w:tr>
      <w:tr w:rsidR="009958AC" w:rsidRPr="002E0D67" w14:paraId="232569D3" w14:textId="77777777" w:rsidTr="00484F60">
        <w:tc>
          <w:tcPr>
            <w:tcW w:w="6379" w:type="dxa"/>
          </w:tcPr>
          <w:p w14:paraId="665D9B76" w14:textId="68476BDE" w:rsidR="009958AC" w:rsidRPr="002E0D67" w:rsidRDefault="009958AC" w:rsidP="00BB1999">
            <w:pPr>
              <w:spacing w:before="60" w:after="60"/>
              <w:rPr>
                <w:rFonts w:ascii="Arial" w:hAnsi="Arial" w:cs="Arial"/>
                <w:color w:val="404142"/>
              </w:rPr>
            </w:pPr>
            <w:r w:rsidRPr="002E0D67">
              <w:rPr>
                <w:rFonts w:ascii="Arial" w:hAnsi="Arial" w:cs="Arial"/>
                <w:color w:val="404142"/>
              </w:rPr>
              <w:t xml:space="preserve">Agriculture, </w:t>
            </w:r>
            <w:proofErr w:type="gramStart"/>
            <w:r w:rsidRPr="002E0D67">
              <w:rPr>
                <w:rFonts w:ascii="Arial" w:hAnsi="Arial" w:cs="Arial"/>
                <w:color w:val="404142"/>
              </w:rPr>
              <w:t>forestry</w:t>
            </w:r>
            <w:proofErr w:type="gramEnd"/>
            <w:r w:rsidRPr="002E0D67">
              <w:rPr>
                <w:rFonts w:ascii="Arial" w:hAnsi="Arial" w:cs="Arial"/>
                <w:color w:val="404142"/>
              </w:rPr>
              <w:t xml:space="preserve"> and fishing</w:t>
            </w:r>
          </w:p>
        </w:tc>
        <w:tc>
          <w:tcPr>
            <w:tcW w:w="2693" w:type="dxa"/>
          </w:tcPr>
          <w:p w14:paraId="3021FE4C" w14:textId="46A0B30E" w:rsidR="009958AC" w:rsidRPr="002E0D67" w:rsidRDefault="004459AC" w:rsidP="00BB1999">
            <w:pPr>
              <w:spacing w:before="60" w:after="60"/>
              <w:jc w:val="center"/>
              <w:rPr>
                <w:rFonts w:ascii="Arial" w:hAnsi="Arial" w:cs="Arial"/>
                <w:color w:val="404142"/>
              </w:rPr>
            </w:pPr>
            <w:r w:rsidRPr="002E0D67">
              <w:rPr>
                <w:rFonts w:ascii="Arial" w:hAnsi="Arial" w:cs="Arial"/>
                <w:color w:val="404142"/>
              </w:rPr>
              <w:t>18.0</w:t>
            </w:r>
          </w:p>
        </w:tc>
      </w:tr>
      <w:tr w:rsidR="009958AC" w:rsidRPr="002E0D67" w14:paraId="5F99AD2B" w14:textId="77777777" w:rsidTr="00484F60">
        <w:tc>
          <w:tcPr>
            <w:tcW w:w="6379" w:type="dxa"/>
          </w:tcPr>
          <w:p w14:paraId="270E0A72" w14:textId="66D8D1CE" w:rsidR="009958AC" w:rsidRPr="002E0D67" w:rsidRDefault="009958AC" w:rsidP="00BB1999">
            <w:pPr>
              <w:spacing w:before="60" w:after="60"/>
              <w:rPr>
                <w:rFonts w:ascii="Arial" w:hAnsi="Arial" w:cs="Arial"/>
                <w:color w:val="404142"/>
              </w:rPr>
            </w:pPr>
            <w:r w:rsidRPr="002E0D67">
              <w:rPr>
                <w:rFonts w:ascii="Arial" w:hAnsi="Arial" w:cs="Arial"/>
                <w:color w:val="404142"/>
              </w:rPr>
              <w:t>Mining</w:t>
            </w:r>
          </w:p>
        </w:tc>
        <w:tc>
          <w:tcPr>
            <w:tcW w:w="2693" w:type="dxa"/>
          </w:tcPr>
          <w:p w14:paraId="60B374EE" w14:textId="29B0E739" w:rsidR="009958AC" w:rsidRPr="002E0D67" w:rsidRDefault="009958AC" w:rsidP="00BB1999">
            <w:pPr>
              <w:spacing w:before="60" w:after="60"/>
              <w:jc w:val="center"/>
              <w:rPr>
                <w:rFonts w:ascii="Arial" w:hAnsi="Arial" w:cs="Arial"/>
                <w:color w:val="404142"/>
              </w:rPr>
            </w:pPr>
            <w:r w:rsidRPr="002E0D67">
              <w:rPr>
                <w:rFonts w:ascii="Arial" w:hAnsi="Arial" w:cs="Arial"/>
                <w:color w:val="404142"/>
              </w:rPr>
              <w:t>0.</w:t>
            </w:r>
            <w:r w:rsidR="004459AC" w:rsidRPr="002E0D67">
              <w:rPr>
                <w:rFonts w:ascii="Arial" w:hAnsi="Arial" w:cs="Arial"/>
                <w:color w:val="404142"/>
              </w:rPr>
              <w:t>1</w:t>
            </w:r>
          </w:p>
        </w:tc>
      </w:tr>
      <w:tr w:rsidR="009958AC" w:rsidRPr="002E0D67" w14:paraId="00929C86" w14:textId="77777777" w:rsidTr="00484F60">
        <w:tc>
          <w:tcPr>
            <w:tcW w:w="6379" w:type="dxa"/>
          </w:tcPr>
          <w:p w14:paraId="529F0ADB" w14:textId="7010EE7A" w:rsidR="009958AC" w:rsidRPr="002E0D67" w:rsidRDefault="009958AC" w:rsidP="0059724A">
            <w:pPr>
              <w:spacing w:before="60" w:after="60"/>
              <w:rPr>
                <w:rFonts w:ascii="Arial" w:hAnsi="Arial" w:cs="Arial"/>
                <w:color w:val="404142"/>
              </w:rPr>
            </w:pPr>
            <w:r w:rsidRPr="002E0D67">
              <w:rPr>
                <w:rFonts w:ascii="Arial" w:hAnsi="Arial" w:cs="Arial"/>
                <w:color w:val="404142"/>
              </w:rPr>
              <w:t>Manufacturing</w:t>
            </w:r>
          </w:p>
        </w:tc>
        <w:tc>
          <w:tcPr>
            <w:tcW w:w="2693" w:type="dxa"/>
          </w:tcPr>
          <w:p w14:paraId="3A70484E" w14:textId="274DA579"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14.1</w:t>
            </w:r>
          </w:p>
        </w:tc>
      </w:tr>
      <w:tr w:rsidR="009958AC" w:rsidRPr="002E0D67" w14:paraId="56B9F947" w14:textId="77777777" w:rsidTr="00484F60">
        <w:tc>
          <w:tcPr>
            <w:tcW w:w="6379" w:type="dxa"/>
          </w:tcPr>
          <w:p w14:paraId="64B77C83" w14:textId="17CE63FB" w:rsidR="009958AC" w:rsidRPr="002E0D67" w:rsidRDefault="009958AC" w:rsidP="0059724A">
            <w:pPr>
              <w:spacing w:before="60" w:after="60"/>
              <w:rPr>
                <w:rFonts w:ascii="Arial" w:hAnsi="Arial" w:cs="Arial"/>
                <w:color w:val="404142"/>
              </w:rPr>
            </w:pPr>
            <w:r w:rsidRPr="002E0D67">
              <w:rPr>
                <w:rFonts w:ascii="Arial" w:hAnsi="Arial" w:cs="Arial"/>
                <w:color w:val="404142"/>
              </w:rPr>
              <w:t>Electricity, gas water and waste services</w:t>
            </w:r>
          </w:p>
        </w:tc>
        <w:tc>
          <w:tcPr>
            <w:tcW w:w="2693" w:type="dxa"/>
          </w:tcPr>
          <w:p w14:paraId="6E30870D" w14:textId="317D1833"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6.7</w:t>
            </w:r>
          </w:p>
        </w:tc>
      </w:tr>
      <w:tr w:rsidR="009958AC" w:rsidRPr="002E0D67" w14:paraId="0D70BDE4" w14:textId="77777777" w:rsidTr="00484F60">
        <w:tc>
          <w:tcPr>
            <w:tcW w:w="6379" w:type="dxa"/>
          </w:tcPr>
          <w:p w14:paraId="6223E22E" w14:textId="7B5BE461" w:rsidR="009958AC" w:rsidRPr="002E0D67" w:rsidRDefault="009958AC" w:rsidP="0059724A">
            <w:pPr>
              <w:spacing w:before="60" w:after="60"/>
              <w:rPr>
                <w:rFonts w:ascii="Arial" w:hAnsi="Arial" w:cs="Arial"/>
                <w:color w:val="404142"/>
              </w:rPr>
            </w:pPr>
            <w:r w:rsidRPr="002E0D67">
              <w:rPr>
                <w:rFonts w:ascii="Arial" w:hAnsi="Arial" w:cs="Arial"/>
                <w:color w:val="404142"/>
              </w:rPr>
              <w:t>Construction</w:t>
            </w:r>
          </w:p>
        </w:tc>
        <w:tc>
          <w:tcPr>
            <w:tcW w:w="2693" w:type="dxa"/>
          </w:tcPr>
          <w:p w14:paraId="15A8F2A1" w14:textId="161E4803"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11.3</w:t>
            </w:r>
          </w:p>
        </w:tc>
      </w:tr>
      <w:tr w:rsidR="009958AC" w:rsidRPr="002E0D67" w14:paraId="6C9A2A85" w14:textId="77777777" w:rsidTr="00484F60">
        <w:tc>
          <w:tcPr>
            <w:tcW w:w="6379" w:type="dxa"/>
          </w:tcPr>
          <w:p w14:paraId="1C0A559D" w14:textId="4AD47DF3" w:rsidR="009958AC" w:rsidRPr="002E0D67" w:rsidRDefault="009958AC" w:rsidP="0059724A">
            <w:pPr>
              <w:spacing w:before="60" w:after="60"/>
              <w:rPr>
                <w:rFonts w:ascii="Arial" w:hAnsi="Arial" w:cs="Arial"/>
                <w:color w:val="404142"/>
              </w:rPr>
            </w:pPr>
            <w:r w:rsidRPr="002E0D67">
              <w:rPr>
                <w:rFonts w:ascii="Arial" w:hAnsi="Arial" w:cs="Arial"/>
                <w:color w:val="404142"/>
              </w:rPr>
              <w:t>Wholesale trade</w:t>
            </w:r>
          </w:p>
        </w:tc>
        <w:tc>
          <w:tcPr>
            <w:tcW w:w="2693" w:type="dxa"/>
          </w:tcPr>
          <w:p w14:paraId="53833BCE" w14:textId="5228B19B" w:rsidR="009958AC" w:rsidRPr="002E0D67" w:rsidRDefault="009958AC" w:rsidP="0059724A">
            <w:pPr>
              <w:spacing w:before="60" w:after="60"/>
              <w:jc w:val="center"/>
              <w:rPr>
                <w:rFonts w:ascii="Arial" w:hAnsi="Arial" w:cs="Arial"/>
                <w:color w:val="404142"/>
              </w:rPr>
            </w:pPr>
            <w:r w:rsidRPr="002E0D67">
              <w:rPr>
                <w:rFonts w:ascii="Arial" w:hAnsi="Arial" w:cs="Arial"/>
                <w:color w:val="404142"/>
              </w:rPr>
              <w:t>1.</w:t>
            </w:r>
            <w:r w:rsidR="004459AC" w:rsidRPr="002E0D67">
              <w:rPr>
                <w:rFonts w:ascii="Arial" w:hAnsi="Arial" w:cs="Arial"/>
                <w:color w:val="404142"/>
              </w:rPr>
              <w:t>8</w:t>
            </w:r>
          </w:p>
        </w:tc>
      </w:tr>
      <w:tr w:rsidR="009958AC" w:rsidRPr="002E0D67" w14:paraId="5FC917A0" w14:textId="77777777" w:rsidTr="00484F60">
        <w:tc>
          <w:tcPr>
            <w:tcW w:w="6379" w:type="dxa"/>
          </w:tcPr>
          <w:p w14:paraId="262F6520" w14:textId="5E79A5D5" w:rsidR="009958AC" w:rsidRPr="002E0D67" w:rsidRDefault="009958AC" w:rsidP="0059724A">
            <w:pPr>
              <w:spacing w:before="60" w:after="60"/>
              <w:rPr>
                <w:rFonts w:ascii="Arial" w:hAnsi="Arial" w:cs="Arial"/>
                <w:color w:val="404142"/>
              </w:rPr>
            </w:pPr>
            <w:r w:rsidRPr="002E0D67">
              <w:rPr>
                <w:rFonts w:ascii="Arial" w:hAnsi="Arial" w:cs="Arial"/>
                <w:color w:val="404142"/>
              </w:rPr>
              <w:t>Reta</w:t>
            </w:r>
            <w:r w:rsidR="004459AC" w:rsidRPr="002E0D67">
              <w:rPr>
                <w:rFonts w:ascii="Arial" w:hAnsi="Arial" w:cs="Arial"/>
                <w:color w:val="404142"/>
              </w:rPr>
              <w:t>i</w:t>
            </w:r>
            <w:r w:rsidRPr="002E0D67">
              <w:rPr>
                <w:rFonts w:ascii="Arial" w:hAnsi="Arial" w:cs="Arial"/>
                <w:color w:val="404142"/>
              </w:rPr>
              <w:t>l trade</w:t>
            </w:r>
          </w:p>
        </w:tc>
        <w:tc>
          <w:tcPr>
            <w:tcW w:w="2693" w:type="dxa"/>
          </w:tcPr>
          <w:p w14:paraId="0347425A" w14:textId="64C11619"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6.2</w:t>
            </w:r>
          </w:p>
        </w:tc>
      </w:tr>
      <w:tr w:rsidR="009958AC" w:rsidRPr="002E0D67" w14:paraId="610B84C0" w14:textId="77777777" w:rsidTr="00484F60">
        <w:tc>
          <w:tcPr>
            <w:tcW w:w="6379" w:type="dxa"/>
          </w:tcPr>
          <w:p w14:paraId="56036DA2" w14:textId="45EBA6A2" w:rsidR="009958AC" w:rsidRPr="002E0D67" w:rsidRDefault="009958AC" w:rsidP="0059724A">
            <w:pPr>
              <w:spacing w:before="60" w:after="60"/>
              <w:rPr>
                <w:rFonts w:ascii="Arial" w:hAnsi="Arial" w:cs="Arial"/>
                <w:color w:val="404142"/>
              </w:rPr>
            </w:pPr>
            <w:r w:rsidRPr="002E0D67">
              <w:rPr>
                <w:rFonts w:ascii="Arial" w:hAnsi="Arial" w:cs="Arial"/>
                <w:color w:val="404142"/>
              </w:rPr>
              <w:t>Accommodation and food services</w:t>
            </w:r>
          </w:p>
        </w:tc>
        <w:tc>
          <w:tcPr>
            <w:tcW w:w="2693" w:type="dxa"/>
          </w:tcPr>
          <w:p w14:paraId="5C91D0FE" w14:textId="560FE407"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5.3</w:t>
            </w:r>
          </w:p>
        </w:tc>
      </w:tr>
      <w:tr w:rsidR="009958AC" w:rsidRPr="002E0D67" w14:paraId="43887096" w14:textId="77777777" w:rsidTr="00484F60">
        <w:tc>
          <w:tcPr>
            <w:tcW w:w="6379" w:type="dxa"/>
          </w:tcPr>
          <w:p w14:paraId="1B7BF3CB" w14:textId="1A489B9B" w:rsidR="009958AC" w:rsidRPr="002E0D67" w:rsidRDefault="009958AC" w:rsidP="0059724A">
            <w:pPr>
              <w:spacing w:before="60" w:after="60"/>
              <w:rPr>
                <w:rFonts w:ascii="Arial" w:hAnsi="Arial" w:cs="Arial"/>
                <w:color w:val="404142"/>
              </w:rPr>
            </w:pPr>
            <w:r w:rsidRPr="002E0D67">
              <w:rPr>
                <w:rFonts w:ascii="Arial" w:hAnsi="Arial" w:cs="Arial"/>
                <w:color w:val="404142"/>
              </w:rPr>
              <w:t>Transport, postal and warehousing</w:t>
            </w:r>
          </w:p>
        </w:tc>
        <w:tc>
          <w:tcPr>
            <w:tcW w:w="2693" w:type="dxa"/>
          </w:tcPr>
          <w:p w14:paraId="7D44629F" w14:textId="6C1C709D" w:rsidR="009958AC" w:rsidRPr="002E0D67" w:rsidRDefault="009958AC" w:rsidP="0059724A">
            <w:pPr>
              <w:spacing w:before="60" w:after="60"/>
              <w:jc w:val="center"/>
              <w:rPr>
                <w:rFonts w:ascii="Arial" w:hAnsi="Arial" w:cs="Arial"/>
                <w:color w:val="404142"/>
              </w:rPr>
            </w:pPr>
            <w:r w:rsidRPr="002E0D67">
              <w:rPr>
                <w:rFonts w:ascii="Arial" w:hAnsi="Arial" w:cs="Arial"/>
                <w:color w:val="404142"/>
              </w:rPr>
              <w:t>3.</w:t>
            </w:r>
            <w:r w:rsidR="004459AC" w:rsidRPr="002E0D67">
              <w:rPr>
                <w:rFonts w:ascii="Arial" w:hAnsi="Arial" w:cs="Arial"/>
                <w:color w:val="404142"/>
              </w:rPr>
              <w:t>8</w:t>
            </w:r>
          </w:p>
        </w:tc>
      </w:tr>
      <w:tr w:rsidR="009958AC" w:rsidRPr="002E0D67" w14:paraId="68FE9969" w14:textId="77777777" w:rsidTr="00484F60">
        <w:tc>
          <w:tcPr>
            <w:tcW w:w="6379" w:type="dxa"/>
          </w:tcPr>
          <w:p w14:paraId="719EBBCF" w14:textId="01D0D861" w:rsidR="009958AC" w:rsidRPr="002E0D67" w:rsidRDefault="009958AC" w:rsidP="0059724A">
            <w:pPr>
              <w:spacing w:before="60" w:after="60"/>
              <w:rPr>
                <w:rFonts w:ascii="Arial" w:hAnsi="Arial" w:cs="Arial"/>
                <w:color w:val="404142"/>
              </w:rPr>
            </w:pPr>
            <w:r w:rsidRPr="002E0D67">
              <w:rPr>
                <w:rFonts w:ascii="Arial" w:hAnsi="Arial" w:cs="Arial"/>
                <w:color w:val="404142"/>
              </w:rPr>
              <w:t>Information media and telecommunications</w:t>
            </w:r>
          </w:p>
        </w:tc>
        <w:tc>
          <w:tcPr>
            <w:tcW w:w="2693" w:type="dxa"/>
          </w:tcPr>
          <w:p w14:paraId="7197D621" w14:textId="207F1B9F" w:rsidR="009958AC" w:rsidRPr="002E0D67" w:rsidRDefault="009958AC" w:rsidP="0059724A">
            <w:pPr>
              <w:spacing w:before="60" w:after="60"/>
              <w:jc w:val="center"/>
              <w:rPr>
                <w:rFonts w:ascii="Arial" w:hAnsi="Arial" w:cs="Arial"/>
                <w:color w:val="404142"/>
              </w:rPr>
            </w:pPr>
            <w:r w:rsidRPr="002E0D67">
              <w:rPr>
                <w:rFonts w:ascii="Arial" w:hAnsi="Arial" w:cs="Arial"/>
                <w:color w:val="404142"/>
              </w:rPr>
              <w:t>0.5</w:t>
            </w:r>
          </w:p>
        </w:tc>
      </w:tr>
      <w:tr w:rsidR="009958AC" w:rsidRPr="002E0D67" w14:paraId="2D1555B1" w14:textId="77777777" w:rsidTr="00484F60">
        <w:tc>
          <w:tcPr>
            <w:tcW w:w="6379" w:type="dxa"/>
          </w:tcPr>
          <w:p w14:paraId="1CA40F45" w14:textId="0E0BD1F5" w:rsidR="009958AC" w:rsidRPr="002E0D67" w:rsidRDefault="009958AC" w:rsidP="0059724A">
            <w:pPr>
              <w:spacing w:before="60" w:after="60"/>
              <w:rPr>
                <w:rFonts w:ascii="Arial" w:hAnsi="Arial" w:cs="Arial"/>
                <w:color w:val="404142"/>
              </w:rPr>
            </w:pPr>
            <w:r w:rsidRPr="002E0D67">
              <w:rPr>
                <w:rFonts w:ascii="Arial" w:hAnsi="Arial" w:cs="Arial"/>
                <w:color w:val="404142"/>
              </w:rPr>
              <w:t>Financial and insurance services</w:t>
            </w:r>
          </w:p>
        </w:tc>
        <w:tc>
          <w:tcPr>
            <w:tcW w:w="2693" w:type="dxa"/>
          </w:tcPr>
          <w:p w14:paraId="5CEA8C4D" w14:textId="4FCE65EE" w:rsidR="009958AC" w:rsidRPr="002E0D67" w:rsidRDefault="009958AC" w:rsidP="0059724A">
            <w:pPr>
              <w:spacing w:before="60" w:after="60"/>
              <w:jc w:val="center"/>
              <w:rPr>
                <w:rFonts w:ascii="Arial" w:hAnsi="Arial" w:cs="Arial"/>
                <w:color w:val="404142"/>
              </w:rPr>
            </w:pPr>
            <w:r w:rsidRPr="002E0D67">
              <w:rPr>
                <w:rFonts w:ascii="Arial" w:hAnsi="Arial" w:cs="Arial"/>
                <w:color w:val="404142"/>
              </w:rPr>
              <w:t>0.</w:t>
            </w:r>
            <w:r w:rsidR="004459AC" w:rsidRPr="002E0D67">
              <w:rPr>
                <w:rFonts w:ascii="Arial" w:hAnsi="Arial" w:cs="Arial"/>
                <w:color w:val="404142"/>
              </w:rPr>
              <w:t>6</w:t>
            </w:r>
          </w:p>
        </w:tc>
      </w:tr>
      <w:tr w:rsidR="009958AC" w:rsidRPr="002E0D67" w14:paraId="3FCF43B6" w14:textId="77777777" w:rsidTr="00484F60">
        <w:tc>
          <w:tcPr>
            <w:tcW w:w="6379" w:type="dxa"/>
          </w:tcPr>
          <w:p w14:paraId="70758CD8" w14:textId="2BEB243A" w:rsidR="009958AC" w:rsidRPr="002E0D67" w:rsidRDefault="009958AC" w:rsidP="0059724A">
            <w:pPr>
              <w:spacing w:before="60" w:after="60"/>
              <w:rPr>
                <w:rFonts w:ascii="Arial" w:hAnsi="Arial" w:cs="Arial"/>
                <w:color w:val="404142"/>
              </w:rPr>
            </w:pPr>
            <w:r w:rsidRPr="002E0D67">
              <w:rPr>
                <w:rFonts w:ascii="Arial" w:hAnsi="Arial" w:cs="Arial"/>
                <w:color w:val="404142"/>
              </w:rPr>
              <w:t>Rental, hiring and real estate services</w:t>
            </w:r>
          </w:p>
        </w:tc>
        <w:tc>
          <w:tcPr>
            <w:tcW w:w="2693" w:type="dxa"/>
          </w:tcPr>
          <w:p w14:paraId="68A93E7E" w14:textId="6D875617"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0.6</w:t>
            </w:r>
          </w:p>
        </w:tc>
      </w:tr>
      <w:tr w:rsidR="009958AC" w:rsidRPr="002E0D67" w14:paraId="35784FD9" w14:textId="77777777" w:rsidTr="00484F60">
        <w:tc>
          <w:tcPr>
            <w:tcW w:w="6379" w:type="dxa"/>
          </w:tcPr>
          <w:p w14:paraId="2CC41FD6" w14:textId="713EFAB4" w:rsidR="009958AC" w:rsidRPr="002E0D67" w:rsidRDefault="009958AC" w:rsidP="0059724A">
            <w:pPr>
              <w:spacing w:before="60" w:after="60"/>
              <w:rPr>
                <w:rFonts w:ascii="Arial" w:hAnsi="Arial" w:cs="Arial"/>
                <w:color w:val="404142"/>
              </w:rPr>
            </w:pPr>
            <w:r w:rsidRPr="002E0D67">
              <w:rPr>
                <w:rFonts w:ascii="Arial" w:hAnsi="Arial" w:cs="Arial"/>
                <w:color w:val="404142"/>
              </w:rPr>
              <w:t xml:space="preserve">Professional, </w:t>
            </w:r>
            <w:proofErr w:type="gramStart"/>
            <w:r w:rsidRPr="002E0D67">
              <w:rPr>
                <w:rFonts w:ascii="Arial" w:hAnsi="Arial" w:cs="Arial"/>
                <w:color w:val="404142"/>
              </w:rPr>
              <w:t>scientific</w:t>
            </w:r>
            <w:proofErr w:type="gramEnd"/>
            <w:r w:rsidRPr="002E0D67">
              <w:rPr>
                <w:rFonts w:ascii="Arial" w:hAnsi="Arial" w:cs="Arial"/>
                <w:color w:val="404142"/>
              </w:rPr>
              <w:t xml:space="preserve"> and technical services</w:t>
            </w:r>
          </w:p>
        </w:tc>
        <w:tc>
          <w:tcPr>
            <w:tcW w:w="2693" w:type="dxa"/>
          </w:tcPr>
          <w:p w14:paraId="7B0622F7" w14:textId="73C4B6E4"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1.8</w:t>
            </w:r>
          </w:p>
        </w:tc>
      </w:tr>
      <w:tr w:rsidR="009958AC" w:rsidRPr="002E0D67" w14:paraId="60DB19AB" w14:textId="77777777" w:rsidTr="00484F60">
        <w:tc>
          <w:tcPr>
            <w:tcW w:w="6379" w:type="dxa"/>
          </w:tcPr>
          <w:p w14:paraId="07E3D991" w14:textId="6812E63F" w:rsidR="009958AC" w:rsidRPr="002E0D67" w:rsidRDefault="009958AC" w:rsidP="0059724A">
            <w:pPr>
              <w:spacing w:before="60" w:after="60"/>
              <w:rPr>
                <w:rFonts w:ascii="Arial" w:hAnsi="Arial" w:cs="Arial"/>
                <w:color w:val="404142"/>
              </w:rPr>
            </w:pPr>
            <w:r w:rsidRPr="002E0D67">
              <w:rPr>
                <w:rFonts w:ascii="Arial" w:hAnsi="Arial" w:cs="Arial"/>
                <w:color w:val="404142"/>
              </w:rPr>
              <w:t>Administrative and support services</w:t>
            </w:r>
          </w:p>
        </w:tc>
        <w:tc>
          <w:tcPr>
            <w:tcW w:w="2693" w:type="dxa"/>
          </w:tcPr>
          <w:p w14:paraId="4B1E34C4" w14:textId="42EC50FD"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2.8</w:t>
            </w:r>
          </w:p>
        </w:tc>
      </w:tr>
      <w:tr w:rsidR="009958AC" w:rsidRPr="002E0D67" w14:paraId="17C7B309" w14:textId="77777777" w:rsidTr="00484F60">
        <w:tc>
          <w:tcPr>
            <w:tcW w:w="6379" w:type="dxa"/>
          </w:tcPr>
          <w:p w14:paraId="39FED307" w14:textId="3537C588" w:rsidR="009958AC" w:rsidRPr="002E0D67" w:rsidRDefault="009958AC" w:rsidP="0059724A">
            <w:pPr>
              <w:spacing w:before="60" w:after="60"/>
              <w:rPr>
                <w:rFonts w:ascii="Arial" w:hAnsi="Arial" w:cs="Arial"/>
                <w:color w:val="404142"/>
              </w:rPr>
            </w:pPr>
            <w:r w:rsidRPr="002E0D67">
              <w:rPr>
                <w:rFonts w:ascii="Arial" w:hAnsi="Arial" w:cs="Arial"/>
                <w:color w:val="404142"/>
              </w:rPr>
              <w:t>Public administration and safety</w:t>
            </w:r>
          </w:p>
        </w:tc>
        <w:tc>
          <w:tcPr>
            <w:tcW w:w="2693" w:type="dxa"/>
          </w:tcPr>
          <w:p w14:paraId="7FF29193" w14:textId="4C4A21DA"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7.6</w:t>
            </w:r>
          </w:p>
        </w:tc>
      </w:tr>
      <w:tr w:rsidR="009958AC" w:rsidRPr="002E0D67" w14:paraId="2C012B44" w14:textId="77777777" w:rsidTr="00484F60">
        <w:tc>
          <w:tcPr>
            <w:tcW w:w="6379" w:type="dxa"/>
          </w:tcPr>
          <w:p w14:paraId="41985E09" w14:textId="3CA5898A" w:rsidR="009958AC" w:rsidRPr="002E0D67" w:rsidRDefault="009958AC" w:rsidP="0059724A">
            <w:pPr>
              <w:spacing w:before="60" w:after="60"/>
              <w:rPr>
                <w:rFonts w:ascii="Arial" w:hAnsi="Arial" w:cs="Arial"/>
                <w:color w:val="404142"/>
              </w:rPr>
            </w:pPr>
            <w:r w:rsidRPr="002E0D67">
              <w:rPr>
                <w:rFonts w:ascii="Arial" w:hAnsi="Arial" w:cs="Arial"/>
                <w:color w:val="404142"/>
              </w:rPr>
              <w:t>Education and training</w:t>
            </w:r>
          </w:p>
        </w:tc>
        <w:tc>
          <w:tcPr>
            <w:tcW w:w="2693" w:type="dxa"/>
          </w:tcPr>
          <w:p w14:paraId="0D5C60FB" w14:textId="0F4ADAD5"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5.8</w:t>
            </w:r>
          </w:p>
        </w:tc>
      </w:tr>
      <w:tr w:rsidR="009958AC" w:rsidRPr="002E0D67" w14:paraId="2B5AD25B" w14:textId="77777777" w:rsidTr="00484F60">
        <w:tc>
          <w:tcPr>
            <w:tcW w:w="6379" w:type="dxa"/>
          </w:tcPr>
          <w:p w14:paraId="3573F79A" w14:textId="372C1B14" w:rsidR="009958AC" w:rsidRPr="002E0D67" w:rsidRDefault="009958AC" w:rsidP="0059724A">
            <w:pPr>
              <w:spacing w:before="60" w:after="60"/>
              <w:rPr>
                <w:rFonts w:ascii="Arial" w:hAnsi="Arial" w:cs="Arial"/>
                <w:color w:val="404142"/>
              </w:rPr>
            </w:pPr>
            <w:r w:rsidRPr="002E0D67">
              <w:rPr>
                <w:rFonts w:ascii="Arial" w:hAnsi="Arial" w:cs="Arial"/>
                <w:color w:val="404142"/>
              </w:rPr>
              <w:t>Health care and social assistance</w:t>
            </w:r>
          </w:p>
        </w:tc>
        <w:tc>
          <w:tcPr>
            <w:tcW w:w="2693" w:type="dxa"/>
          </w:tcPr>
          <w:p w14:paraId="3CEEAC75" w14:textId="603CB197"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9.0</w:t>
            </w:r>
          </w:p>
        </w:tc>
      </w:tr>
      <w:tr w:rsidR="009958AC" w:rsidRPr="002E0D67" w14:paraId="0DE6D3E4" w14:textId="77777777" w:rsidTr="00484F60">
        <w:tc>
          <w:tcPr>
            <w:tcW w:w="6379" w:type="dxa"/>
          </w:tcPr>
          <w:p w14:paraId="7F21F7C9" w14:textId="23F59177" w:rsidR="009958AC" w:rsidRPr="002E0D67" w:rsidRDefault="009958AC" w:rsidP="0059724A">
            <w:pPr>
              <w:spacing w:before="60" w:after="60"/>
              <w:rPr>
                <w:rFonts w:ascii="Arial" w:hAnsi="Arial" w:cs="Arial"/>
                <w:color w:val="404142"/>
              </w:rPr>
            </w:pPr>
            <w:r w:rsidRPr="002E0D67">
              <w:rPr>
                <w:rFonts w:ascii="Arial" w:hAnsi="Arial" w:cs="Arial"/>
                <w:color w:val="404142"/>
              </w:rPr>
              <w:t>Arts and recreation services</w:t>
            </w:r>
          </w:p>
        </w:tc>
        <w:tc>
          <w:tcPr>
            <w:tcW w:w="2693" w:type="dxa"/>
          </w:tcPr>
          <w:p w14:paraId="552BD713" w14:textId="2B3B09A7" w:rsidR="009958AC" w:rsidRPr="002E0D67" w:rsidRDefault="009958AC" w:rsidP="0059724A">
            <w:pPr>
              <w:spacing w:before="60" w:after="60"/>
              <w:jc w:val="center"/>
              <w:rPr>
                <w:rFonts w:ascii="Arial" w:hAnsi="Arial" w:cs="Arial"/>
                <w:color w:val="404142"/>
              </w:rPr>
            </w:pPr>
            <w:r w:rsidRPr="002E0D67">
              <w:rPr>
                <w:rFonts w:ascii="Arial" w:hAnsi="Arial" w:cs="Arial"/>
                <w:color w:val="404142"/>
              </w:rPr>
              <w:t>1.</w:t>
            </w:r>
            <w:r w:rsidR="004459AC" w:rsidRPr="002E0D67">
              <w:rPr>
                <w:rFonts w:ascii="Arial" w:hAnsi="Arial" w:cs="Arial"/>
                <w:color w:val="404142"/>
              </w:rPr>
              <w:t>2</w:t>
            </w:r>
          </w:p>
        </w:tc>
      </w:tr>
      <w:tr w:rsidR="009958AC" w:rsidRPr="002E0D67" w14:paraId="5238AB13" w14:textId="77777777" w:rsidTr="00484F60">
        <w:tc>
          <w:tcPr>
            <w:tcW w:w="6379" w:type="dxa"/>
          </w:tcPr>
          <w:p w14:paraId="25F281DB" w14:textId="4ACCF5B8" w:rsidR="009958AC" w:rsidRPr="002E0D67" w:rsidRDefault="009958AC" w:rsidP="0059724A">
            <w:pPr>
              <w:spacing w:before="60" w:after="60"/>
              <w:rPr>
                <w:rFonts w:ascii="Arial" w:hAnsi="Arial" w:cs="Arial"/>
                <w:color w:val="404142"/>
              </w:rPr>
            </w:pPr>
            <w:r w:rsidRPr="002E0D67">
              <w:rPr>
                <w:rFonts w:ascii="Arial" w:hAnsi="Arial" w:cs="Arial"/>
                <w:color w:val="404142"/>
              </w:rPr>
              <w:t>Other services</w:t>
            </w:r>
          </w:p>
        </w:tc>
        <w:tc>
          <w:tcPr>
            <w:tcW w:w="2693" w:type="dxa"/>
          </w:tcPr>
          <w:p w14:paraId="636C7105" w14:textId="16E694E0" w:rsidR="009958AC" w:rsidRPr="002E0D67" w:rsidRDefault="004459AC" w:rsidP="0059724A">
            <w:pPr>
              <w:spacing w:before="60" w:after="60"/>
              <w:jc w:val="center"/>
              <w:rPr>
                <w:rFonts w:ascii="Arial" w:hAnsi="Arial" w:cs="Arial"/>
                <w:color w:val="404142"/>
              </w:rPr>
            </w:pPr>
            <w:r w:rsidRPr="002E0D67">
              <w:rPr>
                <w:rFonts w:ascii="Arial" w:hAnsi="Arial" w:cs="Arial"/>
                <w:color w:val="404142"/>
              </w:rPr>
              <w:t>2.9</w:t>
            </w:r>
          </w:p>
        </w:tc>
      </w:tr>
      <w:tr w:rsidR="009958AC" w:rsidRPr="002E0D67" w14:paraId="29477FB6" w14:textId="77777777" w:rsidTr="00484F60">
        <w:tc>
          <w:tcPr>
            <w:tcW w:w="6379" w:type="dxa"/>
            <w:shd w:val="clear" w:color="auto" w:fill="D9E2F3" w:themeFill="accent1" w:themeFillTint="33"/>
          </w:tcPr>
          <w:p w14:paraId="20B145EC" w14:textId="41264324" w:rsidR="009958AC" w:rsidRPr="002E0D67" w:rsidRDefault="009958AC" w:rsidP="0059724A">
            <w:pPr>
              <w:spacing w:before="60" w:after="60"/>
              <w:rPr>
                <w:rFonts w:ascii="Arial" w:hAnsi="Arial" w:cs="Arial"/>
                <w:b/>
                <w:bCs/>
                <w:color w:val="404142"/>
              </w:rPr>
            </w:pPr>
            <w:r w:rsidRPr="002E0D67">
              <w:rPr>
                <w:rFonts w:ascii="Arial" w:hAnsi="Arial" w:cs="Arial"/>
                <w:b/>
                <w:bCs/>
                <w:color w:val="404142"/>
              </w:rPr>
              <w:t>Total persons employed aged 15 years and over</w:t>
            </w:r>
          </w:p>
        </w:tc>
        <w:tc>
          <w:tcPr>
            <w:tcW w:w="2693" w:type="dxa"/>
            <w:shd w:val="clear" w:color="auto" w:fill="D9E2F3" w:themeFill="accent1" w:themeFillTint="33"/>
          </w:tcPr>
          <w:p w14:paraId="4BD44428" w14:textId="78545759" w:rsidR="009958AC" w:rsidRPr="002E0D67" w:rsidRDefault="004459AC" w:rsidP="0059724A">
            <w:pPr>
              <w:spacing w:before="60" w:after="60"/>
              <w:jc w:val="center"/>
              <w:rPr>
                <w:rFonts w:ascii="Arial" w:hAnsi="Arial" w:cs="Arial"/>
                <w:b/>
                <w:bCs/>
                <w:color w:val="404142"/>
              </w:rPr>
            </w:pPr>
            <w:r w:rsidRPr="002E0D67">
              <w:rPr>
                <w:rFonts w:ascii="Arial" w:hAnsi="Arial" w:cs="Arial"/>
                <w:b/>
                <w:bCs/>
                <w:color w:val="404142"/>
              </w:rPr>
              <w:t>6074</w:t>
            </w:r>
          </w:p>
        </w:tc>
      </w:tr>
    </w:tbl>
    <w:p w14:paraId="523AB7C8" w14:textId="1DABDBE1" w:rsidR="009958AC" w:rsidRPr="002E0D67" w:rsidRDefault="004459AC">
      <w:pPr>
        <w:rPr>
          <w:rFonts w:ascii="Arial" w:hAnsi="Arial" w:cs="Arial"/>
        </w:rPr>
      </w:pPr>
      <w:r w:rsidRPr="002E0D67">
        <w:rPr>
          <w:rFonts w:ascii="Arial" w:hAnsi="Arial" w:cs="Arial"/>
          <w:i/>
          <w:iCs/>
        </w:rPr>
        <w:t>Source:  National Institute of Economic and Industry Research ©202</w:t>
      </w:r>
      <w:r w:rsidR="000E3A77">
        <w:rPr>
          <w:rFonts w:ascii="Arial" w:hAnsi="Arial" w:cs="Arial"/>
          <w:i/>
          <w:iCs/>
        </w:rPr>
        <w:t>2</w:t>
      </w:r>
    </w:p>
    <w:p w14:paraId="1159CEE5" w14:textId="77777777" w:rsidR="004459AC" w:rsidRPr="002E0D67" w:rsidRDefault="004459AC" w:rsidP="00AC1797">
      <w:pPr>
        <w:spacing w:before="60" w:after="60"/>
        <w:jc w:val="both"/>
        <w:rPr>
          <w:rFonts w:ascii="Arial" w:hAnsi="Arial" w:cs="Arial"/>
          <w:color w:val="404142"/>
        </w:rPr>
      </w:pPr>
    </w:p>
    <w:p w14:paraId="61AC0AA6" w14:textId="73F36BBA" w:rsidR="005500A5" w:rsidRPr="00863710" w:rsidRDefault="004459AC" w:rsidP="00AC1797">
      <w:pPr>
        <w:spacing w:before="60" w:after="60" w:line="240" w:lineRule="auto"/>
        <w:jc w:val="both"/>
        <w:rPr>
          <w:rFonts w:ascii="Arial" w:hAnsi="Arial" w:cs="Arial"/>
        </w:rPr>
      </w:pPr>
      <w:r w:rsidRPr="00863710">
        <w:rPr>
          <w:rFonts w:ascii="Arial" w:hAnsi="Arial" w:cs="Arial"/>
        </w:rPr>
        <w:t>An analysis of the jobs held by local workers in 2021/</w:t>
      </w:r>
      <w:r w:rsidR="0066779B">
        <w:rPr>
          <w:rFonts w:ascii="Arial" w:hAnsi="Arial" w:cs="Arial"/>
        </w:rPr>
        <w:t>20</w:t>
      </w:r>
      <w:r w:rsidRPr="00863710">
        <w:rPr>
          <w:rFonts w:ascii="Arial" w:hAnsi="Arial" w:cs="Arial"/>
        </w:rPr>
        <w:t>22 shows the three largest industries were:</w:t>
      </w:r>
    </w:p>
    <w:p w14:paraId="776B5E7A" w14:textId="59AF5AA1" w:rsidR="005500A5" w:rsidRPr="00863710" w:rsidRDefault="005500A5" w:rsidP="00AC1797">
      <w:pPr>
        <w:pStyle w:val="ListParagraph"/>
        <w:numPr>
          <w:ilvl w:val="0"/>
          <w:numId w:val="9"/>
        </w:numPr>
        <w:spacing w:beforeLines="60" w:before="144"/>
        <w:jc w:val="both"/>
        <w:rPr>
          <w:rFonts w:ascii="Arial" w:eastAsiaTheme="minorHAnsi" w:hAnsi="Arial" w:cs="Arial"/>
          <w:kern w:val="2"/>
          <w:lang w:val="en-AU"/>
          <w14:ligatures w14:val="standardContextual"/>
        </w:rPr>
      </w:pPr>
      <w:r w:rsidRPr="00863710">
        <w:rPr>
          <w:rFonts w:ascii="Arial" w:eastAsiaTheme="minorHAnsi" w:hAnsi="Arial" w:cs="Arial"/>
          <w:kern w:val="2"/>
          <w:lang w:val="en-AU"/>
          <w14:ligatures w14:val="standardContextual"/>
        </w:rPr>
        <w:t xml:space="preserve">Agriculture, </w:t>
      </w:r>
      <w:proofErr w:type="gramStart"/>
      <w:r w:rsidRPr="00863710">
        <w:rPr>
          <w:rFonts w:ascii="Arial" w:eastAsiaTheme="minorHAnsi" w:hAnsi="Arial" w:cs="Arial"/>
          <w:kern w:val="2"/>
          <w:lang w:val="en-AU"/>
          <w14:ligatures w14:val="standardContextual"/>
        </w:rPr>
        <w:t>forestry</w:t>
      </w:r>
      <w:proofErr w:type="gramEnd"/>
      <w:r w:rsidRPr="00863710">
        <w:rPr>
          <w:rFonts w:ascii="Arial" w:eastAsiaTheme="minorHAnsi" w:hAnsi="Arial" w:cs="Arial"/>
          <w:kern w:val="2"/>
          <w:lang w:val="en-AU"/>
          <w14:ligatures w14:val="standardContextual"/>
        </w:rPr>
        <w:t xml:space="preserve"> and fishing (1,0</w:t>
      </w:r>
      <w:r w:rsidR="004459AC" w:rsidRPr="00863710">
        <w:rPr>
          <w:rFonts w:ascii="Arial" w:eastAsiaTheme="minorHAnsi" w:hAnsi="Arial" w:cs="Arial"/>
          <w:kern w:val="2"/>
          <w:lang w:val="en-AU"/>
          <w14:ligatures w14:val="standardContextual"/>
        </w:rPr>
        <w:t>93</w:t>
      </w:r>
      <w:r w:rsidRPr="00863710">
        <w:rPr>
          <w:rFonts w:ascii="Arial" w:eastAsiaTheme="minorHAnsi" w:hAnsi="Arial" w:cs="Arial"/>
          <w:kern w:val="2"/>
          <w:lang w:val="en-AU"/>
          <w14:ligatures w14:val="standardContextual"/>
        </w:rPr>
        <w:t xml:space="preserve"> people or 1</w:t>
      </w:r>
      <w:r w:rsidR="004459AC" w:rsidRPr="00863710">
        <w:rPr>
          <w:rFonts w:ascii="Arial" w:eastAsiaTheme="minorHAnsi" w:hAnsi="Arial" w:cs="Arial"/>
          <w:kern w:val="2"/>
          <w:lang w:val="en-AU"/>
          <w14:ligatures w14:val="standardContextual"/>
        </w:rPr>
        <w:t>8.0</w:t>
      </w:r>
      <w:r w:rsidRPr="00863710">
        <w:rPr>
          <w:rFonts w:ascii="Arial" w:eastAsiaTheme="minorHAnsi" w:hAnsi="Arial" w:cs="Arial"/>
          <w:kern w:val="2"/>
          <w:lang w:val="en-AU"/>
          <w14:ligatures w14:val="standardContextual"/>
        </w:rPr>
        <w:t>%)</w:t>
      </w:r>
    </w:p>
    <w:p w14:paraId="2F04F647" w14:textId="7DA25083" w:rsidR="005500A5" w:rsidRPr="00863710" w:rsidRDefault="005500A5" w:rsidP="00AC1797">
      <w:pPr>
        <w:pStyle w:val="ListParagraph"/>
        <w:numPr>
          <w:ilvl w:val="0"/>
          <w:numId w:val="9"/>
        </w:numPr>
        <w:spacing w:beforeLines="60" w:before="144"/>
        <w:ind w:left="714" w:hanging="357"/>
        <w:jc w:val="both"/>
        <w:rPr>
          <w:rFonts w:ascii="Arial" w:eastAsiaTheme="minorHAnsi" w:hAnsi="Arial" w:cs="Arial"/>
          <w:kern w:val="2"/>
          <w:lang w:val="en-AU"/>
          <w14:ligatures w14:val="standardContextual"/>
        </w:rPr>
      </w:pPr>
      <w:r w:rsidRPr="00863710">
        <w:rPr>
          <w:rFonts w:ascii="Arial" w:eastAsiaTheme="minorHAnsi" w:hAnsi="Arial" w:cs="Arial"/>
          <w:kern w:val="2"/>
          <w:lang w:val="en-AU"/>
          <w14:ligatures w14:val="standardContextual"/>
        </w:rPr>
        <w:t>Manufacturing (8</w:t>
      </w:r>
      <w:r w:rsidR="004459AC" w:rsidRPr="00863710">
        <w:rPr>
          <w:rFonts w:ascii="Arial" w:eastAsiaTheme="minorHAnsi" w:hAnsi="Arial" w:cs="Arial"/>
          <w:kern w:val="2"/>
          <w:lang w:val="en-AU"/>
          <w14:ligatures w14:val="standardContextual"/>
        </w:rPr>
        <w:t>54</w:t>
      </w:r>
      <w:r w:rsidRPr="00863710">
        <w:rPr>
          <w:rFonts w:ascii="Arial" w:eastAsiaTheme="minorHAnsi" w:hAnsi="Arial" w:cs="Arial"/>
          <w:kern w:val="2"/>
          <w:lang w:val="en-AU"/>
          <w14:ligatures w14:val="standardContextual"/>
        </w:rPr>
        <w:t xml:space="preserve"> people or 1</w:t>
      </w:r>
      <w:r w:rsidR="004459AC" w:rsidRPr="00863710">
        <w:rPr>
          <w:rFonts w:ascii="Arial" w:eastAsiaTheme="minorHAnsi" w:hAnsi="Arial" w:cs="Arial"/>
          <w:kern w:val="2"/>
          <w:lang w:val="en-AU"/>
          <w14:ligatures w14:val="standardContextual"/>
        </w:rPr>
        <w:t>4.1</w:t>
      </w:r>
      <w:r w:rsidRPr="00863710">
        <w:rPr>
          <w:rFonts w:ascii="Arial" w:eastAsiaTheme="minorHAnsi" w:hAnsi="Arial" w:cs="Arial"/>
          <w:kern w:val="2"/>
          <w:lang w:val="en-AU"/>
          <w14:ligatures w14:val="standardContextual"/>
        </w:rPr>
        <w:t>%)</w:t>
      </w:r>
    </w:p>
    <w:p w14:paraId="7FB4DC25" w14:textId="3A559808" w:rsidR="005500A5" w:rsidRPr="00863710" w:rsidRDefault="004459AC" w:rsidP="00AC1797">
      <w:pPr>
        <w:pStyle w:val="ListParagraph"/>
        <w:numPr>
          <w:ilvl w:val="0"/>
          <w:numId w:val="9"/>
        </w:numPr>
        <w:spacing w:beforeLines="80" w:before="192"/>
        <w:ind w:left="714" w:hanging="357"/>
        <w:jc w:val="both"/>
        <w:rPr>
          <w:rFonts w:ascii="Arial" w:eastAsiaTheme="minorHAnsi" w:hAnsi="Arial" w:cs="Arial"/>
          <w:kern w:val="2"/>
          <w:lang w:val="en-AU"/>
          <w14:ligatures w14:val="standardContextual"/>
        </w:rPr>
      </w:pPr>
      <w:r w:rsidRPr="00863710">
        <w:rPr>
          <w:rFonts w:ascii="Arial" w:eastAsiaTheme="minorHAnsi" w:hAnsi="Arial" w:cs="Arial"/>
          <w:kern w:val="2"/>
          <w:lang w:val="en-AU"/>
          <w14:ligatures w14:val="standardContextual"/>
        </w:rPr>
        <w:t>Construction (688 people or 11.3%)</w:t>
      </w:r>
    </w:p>
    <w:p w14:paraId="08CF08E7" w14:textId="08037837" w:rsidR="005500A5" w:rsidRPr="00863710" w:rsidRDefault="004459AC" w:rsidP="00AC1797">
      <w:pPr>
        <w:spacing w:beforeLines="80" w:before="192" w:after="0" w:line="240" w:lineRule="auto"/>
        <w:jc w:val="both"/>
        <w:rPr>
          <w:rFonts w:ascii="Arial" w:hAnsi="Arial" w:cs="Arial"/>
        </w:rPr>
      </w:pPr>
      <w:r w:rsidRPr="00863710">
        <w:rPr>
          <w:rFonts w:ascii="Arial" w:hAnsi="Arial" w:cs="Arial"/>
        </w:rPr>
        <w:t>Combining these three fields accounted for 2,634 people in total or 43.4% of the local workers.</w:t>
      </w:r>
    </w:p>
    <w:p w14:paraId="57CA874E" w14:textId="64C904CD" w:rsidR="00B60612" w:rsidRPr="00863710" w:rsidRDefault="004459AC" w:rsidP="00AC1797">
      <w:pPr>
        <w:spacing w:beforeLines="80" w:before="192" w:after="0" w:line="240" w:lineRule="auto"/>
        <w:jc w:val="both"/>
        <w:rPr>
          <w:rFonts w:ascii="Arial" w:hAnsi="Arial" w:cs="Arial"/>
        </w:rPr>
      </w:pPr>
      <w:r w:rsidRPr="00863710">
        <w:rPr>
          <w:rFonts w:ascii="Arial" w:hAnsi="Arial" w:cs="Arial"/>
        </w:rPr>
        <w:t>In comparison, New South Wales employed 2.5% in Agriculture, Forestry and Fishing, 6.6% in Manufacturing and 9.5% in Construction.</w:t>
      </w:r>
    </w:p>
    <w:p w14:paraId="2F0628B0" w14:textId="77777777" w:rsidR="00863710" w:rsidRDefault="00863710" w:rsidP="00577C01">
      <w:pPr>
        <w:pStyle w:val="Heading1"/>
        <w:rPr>
          <w:rFonts w:ascii="Arial" w:hAnsi="Arial" w:cs="Arial"/>
          <w:sz w:val="22"/>
          <w:szCs w:val="22"/>
        </w:rPr>
      </w:pPr>
    </w:p>
    <w:p w14:paraId="3013D809" w14:textId="77777777" w:rsidR="00863710" w:rsidRDefault="00863710" w:rsidP="00577C01">
      <w:pPr>
        <w:pStyle w:val="Heading1"/>
        <w:rPr>
          <w:rFonts w:ascii="Arial" w:hAnsi="Arial" w:cs="Arial"/>
          <w:sz w:val="22"/>
          <w:szCs w:val="22"/>
        </w:rPr>
      </w:pPr>
    </w:p>
    <w:p w14:paraId="175CB3EB" w14:textId="77777777" w:rsidR="00863710" w:rsidRDefault="00863710" w:rsidP="00577C01">
      <w:pPr>
        <w:pStyle w:val="Heading1"/>
        <w:rPr>
          <w:rFonts w:ascii="Arial" w:hAnsi="Arial" w:cs="Arial"/>
          <w:sz w:val="22"/>
          <w:szCs w:val="22"/>
        </w:rPr>
      </w:pPr>
    </w:p>
    <w:p w14:paraId="7C744247" w14:textId="651EFA49" w:rsidR="00961FBE" w:rsidRPr="000E3A77" w:rsidRDefault="009958AC" w:rsidP="000E3A77">
      <w:pPr>
        <w:pStyle w:val="Heading1"/>
        <w:keepNext/>
        <w:keepLines/>
        <w:rPr>
          <w:rFonts w:ascii="Arial" w:hAnsi="Arial" w:cs="Arial"/>
          <w:b/>
          <w:bCs/>
          <w:sz w:val="22"/>
          <w:szCs w:val="22"/>
        </w:rPr>
      </w:pPr>
      <w:bookmarkStart w:id="24" w:name="_Toc156305607"/>
      <w:r w:rsidRPr="00863710">
        <w:rPr>
          <w:rFonts w:ascii="Arial" w:hAnsi="Arial" w:cs="Arial"/>
          <w:b/>
          <w:bCs/>
          <w:sz w:val="22"/>
          <w:szCs w:val="22"/>
        </w:rPr>
        <w:lastRenderedPageBreak/>
        <w:t xml:space="preserve">Core Activity </w:t>
      </w:r>
      <w:r w:rsidR="00924689" w:rsidRPr="00863710">
        <w:rPr>
          <w:rFonts w:ascii="Arial" w:hAnsi="Arial" w:cs="Arial"/>
          <w:b/>
          <w:bCs/>
          <w:sz w:val="22"/>
          <w:szCs w:val="22"/>
        </w:rPr>
        <w:t xml:space="preserve">Need </w:t>
      </w:r>
      <w:r w:rsidR="00863710" w:rsidRPr="00863710">
        <w:rPr>
          <w:rFonts w:ascii="Arial" w:hAnsi="Arial" w:cs="Arial"/>
          <w:b/>
          <w:bCs/>
          <w:sz w:val="22"/>
          <w:szCs w:val="22"/>
        </w:rPr>
        <w:t>for</w:t>
      </w:r>
      <w:r w:rsidR="00924689" w:rsidRPr="00863710">
        <w:rPr>
          <w:rFonts w:ascii="Arial" w:hAnsi="Arial" w:cs="Arial"/>
          <w:b/>
          <w:bCs/>
          <w:sz w:val="22"/>
          <w:szCs w:val="22"/>
        </w:rPr>
        <w:t xml:space="preserve"> Assistance</w:t>
      </w:r>
      <w:bookmarkEnd w:id="24"/>
    </w:p>
    <w:tbl>
      <w:tblPr>
        <w:tblStyle w:val="TableGrid"/>
        <w:tblW w:w="8783" w:type="dxa"/>
        <w:tblLook w:val="04A0" w:firstRow="1" w:lastRow="0" w:firstColumn="1" w:lastColumn="0" w:noHBand="0" w:noVBand="1"/>
      </w:tblPr>
      <w:tblGrid>
        <w:gridCol w:w="2679"/>
        <w:gridCol w:w="3242"/>
        <w:gridCol w:w="1448"/>
        <w:gridCol w:w="1414"/>
      </w:tblGrid>
      <w:tr w:rsidR="001908B5" w:rsidRPr="002E0D67" w14:paraId="26BBDB28" w14:textId="75C2E84E" w:rsidTr="000765B1">
        <w:tc>
          <w:tcPr>
            <w:tcW w:w="2679" w:type="dxa"/>
            <w:shd w:val="clear" w:color="auto" w:fill="002060"/>
          </w:tcPr>
          <w:p w14:paraId="045D2816" w14:textId="35871359" w:rsidR="001908B5" w:rsidRPr="002E0D67" w:rsidRDefault="001908B5" w:rsidP="00BB1999">
            <w:pPr>
              <w:keepNext/>
              <w:keepLines/>
              <w:spacing w:before="60" w:after="60"/>
              <w:jc w:val="center"/>
              <w:rPr>
                <w:rFonts w:ascii="Arial" w:hAnsi="Arial" w:cs="Arial"/>
                <w:b/>
                <w:bCs/>
                <w:color w:val="FFFFFF" w:themeColor="background1"/>
              </w:rPr>
            </w:pPr>
            <w:bookmarkStart w:id="25" w:name="_Hlk148360426"/>
            <w:r w:rsidRPr="002E0D67">
              <w:rPr>
                <w:rFonts w:ascii="Arial" w:hAnsi="Arial" w:cs="Arial"/>
                <w:b/>
                <w:bCs/>
                <w:color w:val="FFFFFF" w:themeColor="background1"/>
              </w:rPr>
              <w:t>Township</w:t>
            </w:r>
          </w:p>
        </w:tc>
        <w:tc>
          <w:tcPr>
            <w:tcW w:w="3242" w:type="dxa"/>
            <w:shd w:val="clear" w:color="auto" w:fill="002060"/>
          </w:tcPr>
          <w:p w14:paraId="6B3F1380" w14:textId="77777777" w:rsidR="00FA5DA4" w:rsidRPr="002E0D67" w:rsidRDefault="001908B5" w:rsidP="00BB1999">
            <w:pPr>
              <w:keepNext/>
              <w:keepLines/>
              <w:spacing w:before="60" w:after="60"/>
              <w:jc w:val="center"/>
              <w:rPr>
                <w:rFonts w:ascii="Arial" w:hAnsi="Arial" w:cs="Arial"/>
                <w:b/>
                <w:bCs/>
                <w:color w:val="FFFFFF" w:themeColor="background1"/>
              </w:rPr>
            </w:pPr>
            <w:r w:rsidRPr="002E0D67">
              <w:rPr>
                <w:rFonts w:ascii="Arial" w:hAnsi="Arial" w:cs="Arial"/>
                <w:b/>
                <w:bCs/>
                <w:color w:val="FFFFFF" w:themeColor="background1"/>
              </w:rPr>
              <w:t xml:space="preserve">Core Activity </w:t>
            </w:r>
          </w:p>
          <w:p w14:paraId="04D79735" w14:textId="2D3BD3F4" w:rsidR="001908B5" w:rsidRPr="002E0D67" w:rsidRDefault="001908B5" w:rsidP="00BB1999">
            <w:pPr>
              <w:keepNext/>
              <w:keepLines/>
              <w:spacing w:before="60" w:after="60"/>
              <w:jc w:val="center"/>
              <w:rPr>
                <w:rFonts w:ascii="Arial" w:hAnsi="Arial" w:cs="Arial"/>
                <w:b/>
                <w:bCs/>
                <w:color w:val="FFFFFF" w:themeColor="background1"/>
              </w:rPr>
            </w:pPr>
            <w:r w:rsidRPr="002E0D67">
              <w:rPr>
                <w:rFonts w:ascii="Arial" w:hAnsi="Arial" w:cs="Arial"/>
                <w:b/>
                <w:bCs/>
                <w:color w:val="FFFFFF" w:themeColor="background1"/>
              </w:rPr>
              <w:t>Need For Assistance</w:t>
            </w:r>
          </w:p>
        </w:tc>
        <w:tc>
          <w:tcPr>
            <w:tcW w:w="1448" w:type="dxa"/>
            <w:shd w:val="clear" w:color="auto" w:fill="002060"/>
          </w:tcPr>
          <w:p w14:paraId="22CEB733" w14:textId="77777777" w:rsidR="001908B5" w:rsidRPr="002E0D67" w:rsidRDefault="001908B5" w:rsidP="00BB1999">
            <w:pPr>
              <w:keepNext/>
              <w:keepLines/>
              <w:spacing w:before="60" w:after="60"/>
              <w:jc w:val="center"/>
              <w:rPr>
                <w:rFonts w:ascii="Arial" w:hAnsi="Arial" w:cs="Arial"/>
                <w:b/>
                <w:bCs/>
                <w:color w:val="FFFFFF" w:themeColor="background1"/>
              </w:rPr>
            </w:pPr>
            <w:r w:rsidRPr="002E0D67">
              <w:rPr>
                <w:rFonts w:ascii="Arial" w:hAnsi="Arial" w:cs="Arial"/>
                <w:b/>
                <w:bCs/>
                <w:color w:val="FFFFFF" w:themeColor="background1"/>
              </w:rPr>
              <w:t>Percentile</w:t>
            </w:r>
          </w:p>
          <w:p w14:paraId="5DD07D1B" w14:textId="6F56E775" w:rsidR="00595205" w:rsidRPr="002E0D67" w:rsidRDefault="00595205" w:rsidP="00BB1999">
            <w:pPr>
              <w:keepNext/>
              <w:keepLines/>
              <w:spacing w:before="60" w:after="60"/>
              <w:jc w:val="center"/>
              <w:rPr>
                <w:rFonts w:ascii="Arial" w:hAnsi="Arial" w:cs="Arial"/>
                <w:b/>
                <w:bCs/>
                <w:color w:val="FFFFFF" w:themeColor="background1"/>
              </w:rPr>
            </w:pPr>
            <w:r w:rsidRPr="002E0D67">
              <w:rPr>
                <w:rFonts w:ascii="Arial" w:hAnsi="Arial" w:cs="Arial"/>
                <w:b/>
                <w:bCs/>
                <w:color w:val="FFFFFF" w:themeColor="background1"/>
              </w:rPr>
              <w:t>%</w:t>
            </w:r>
          </w:p>
        </w:tc>
        <w:tc>
          <w:tcPr>
            <w:tcW w:w="1414" w:type="dxa"/>
            <w:shd w:val="clear" w:color="auto" w:fill="002060"/>
          </w:tcPr>
          <w:p w14:paraId="68D1257B" w14:textId="77777777" w:rsidR="001908B5" w:rsidRPr="002E0D67" w:rsidRDefault="001908B5" w:rsidP="00BB1999">
            <w:pPr>
              <w:keepNext/>
              <w:keepLines/>
              <w:spacing w:before="60" w:after="60"/>
              <w:jc w:val="center"/>
              <w:rPr>
                <w:rFonts w:ascii="Arial" w:hAnsi="Arial" w:cs="Arial"/>
                <w:b/>
                <w:bCs/>
                <w:color w:val="FFFFFF" w:themeColor="background1"/>
              </w:rPr>
            </w:pPr>
            <w:r w:rsidRPr="002E0D67">
              <w:rPr>
                <w:rFonts w:ascii="Arial" w:hAnsi="Arial" w:cs="Arial"/>
                <w:b/>
                <w:bCs/>
                <w:color w:val="FFFFFF" w:themeColor="background1"/>
              </w:rPr>
              <w:t>Regional</w:t>
            </w:r>
          </w:p>
          <w:p w14:paraId="5156EB93" w14:textId="3041D690" w:rsidR="001908B5" w:rsidRPr="002E0D67" w:rsidRDefault="001908B5" w:rsidP="00BB1999">
            <w:pPr>
              <w:keepNext/>
              <w:keepLines/>
              <w:spacing w:before="60" w:after="60"/>
              <w:jc w:val="center"/>
              <w:rPr>
                <w:rFonts w:ascii="Arial" w:hAnsi="Arial" w:cs="Arial"/>
                <w:b/>
                <w:bCs/>
                <w:color w:val="FFFFFF" w:themeColor="background1"/>
              </w:rPr>
            </w:pPr>
            <w:r w:rsidRPr="002E0D67">
              <w:rPr>
                <w:rFonts w:ascii="Arial" w:hAnsi="Arial" w:cs="Arial"/>
                <w:b/>
                <w:bCs/>
                <w:color w:val="FFFFFF" w:themeColor="background1"/>
              </w:rPr>
              <w:t>NSW</w:t>
            </w:r>
          </w:p>
        </w:tc>
      </w:tr>
      <w:tr w:rsidR="000765B1" w:rsidRPr="002E0D67" w14:paraId="4DFFC658" w14:textId="0E984E55" w:rsidTr="000765B1">
        <w:tc>
          <w:tcPr>
            <w:tcW w:w="2679" w:type="dxa"/>
          </w:tcPr>
          <w:p w14:paraId="0FD36174" w14:textId="3716B9D2" w:rsidR="000765B1" w:rsidRPr="002E0D67" w:rsidRDefault="000765B1" w:rsidP="00CD2408">
            <w:pPr>
              <w:spacing w:before="60" w:after="60"/>
              <w:rPr>
                <w:rFonts w:ascii="Arial" w:hAnsi="Arial" w:cs="Arial"/>
                <w:color w:val="404142"/>
              </w:rPr>
            </w:pPr>
            <w:r w:rsidRPr="002E0D67">
              <w:rPr>
                <w:rFonts w:ascii="Arial" w:hAnsi="Arial" w:cs="Arial"/>
                <w:color w:val="404142"/>
              </w:rPr>
              <w:t>Adelong</w:t>
            </w:r>
          </w:p>
        </w:tc>
        <w:tc>
          <w:tcPr>
            <w:tcW w:w="3242" w:type="dxa"/>
          </w:tcPr>
          <w:p w14:paraId="3B4E6367" w14:textId="3FF34068" w:rsidR="000765B1" w:rsidRPr="002E0D67" w:rsidRDefault="000765B1" w:rsidP="00025260">
            <w:pPr>
              <w:tabs>
                <w:tab w:val="left" w:pos="691"/>
              </w:tabs>
              <w:spacing w:before="60" w:after="60"/>
              <w:jc w:val="center"/>
              <w:rPr>
                <w:rFonts w:ascii="Arial" w:hAnsi="Arial" w:cs="Arial"/>
                <w:color w:val="404142"/>
              </w:rPr>
            </w:pPr>
            <w:r w:rsidRPr="002E0D67">
              <w:rPr>
                <w:rFonts w:ascii="Arial" w:hAnsi="Arial" w:cs="Arial"/>
                <w:color w:val="404142"/>
              </w:rPr>
              <w:t xml:space="preserve">60 </w:t>
            </w:r>
          </w:p>
        </w:tc>
        <w:tc>
          <w:tcPr>
            <w:tcW w:w="1448" w:type="dxa"/>
            <w:shd w:val="clear" w:color="auto" w:fill="auto"/>
          </w:tcPr>
          <w:p w14:paraId="49482C1A" w14:textId="00D976D5" w:rsidR="000765B1" w:rsidRPr="002E0D67" w:rsidRDefault="000765B1" w:rsidP="00FB43EE">
            <w:pPr>
              <w:tabs>
                <w:tab w:val="decimal" w:pos="504"/>
              </w:tabs>
              <w:spacing w:before="60" w:after="60"/>
              <w:rPr>
                <w:rFonts w:ascii="Arial" w:hAnsi="Arial" w:cs="Arial"/>
                <w:color w:val="404142"/>
              </w:rPr>
            </w:pPr>
            <w:r w:rsidRPr="002E0D67">
              <w:rPr>
                <w:rFonts w:ascii="Arial" w:hAnsi="Arial" w:cs="Arial"/>
                <w:color w:val="404142"/>
              </w:rPr>
              <w:t xml:space="preserve"> 7.0%</w:t>
            </w:r>
          </w:p>
        </w:tc>
        <w:tc>
          <w:tcPr>
            <w:tcW w:w="1414" w:type="dxa"/>
            <w:vMerge w:val="restart"/>
          </w:tcPr>
          <w:p w14:paraId="0401C3E3" w14:textId="77777777" w:rsidR="000765B1" w:rsidRPr="002E0D67" w:rsidRDefault="000765B1" w:rsidP="00FB43EE">
            <w:pPr>
              <w:tabs>
                <w:tab w:val="decimal" w:pos="504"/>
              </w:tabs>
              <w:spacing w:before="60" w:after="60"/>
              <w:rPr>
                <w:rFonts w:ascii="Arial" w:hAnsi="Arial" w:cs="Arial"/>
                <w:color w:val="404142"/>
              </w:rPr>
            </w:pPr>
          </w:p>
        </w:tc>
      </w:tr>
      <w:tr w:rsidR="000765B1" w:rsidRPr="002E0D67" w14:paraId="54ED092A" w14:textId="52C486FF" w:rsidTr="000765B1">
        <w:tc>
          <w:tcPr>
            <w:tcW w:w="2679" w:type="dxa"/>
          </w:tcPr>
          <w:p w14:paraId="68690452" w14:textId="77BFF117" w:rsidR="000765B1" w:rsidRPr="002E0D67" w:rsidRDefault="000765B1" w:rsidP="00CD2408">
            <w:pPr>
              <w:spacing w:before="60" w:after="60"/>
              <w:rPr>
                <w:rFonts w:ascii="Arial" w:hAnsi="Arial" w:cs="Arial"/>
                <w:color w:val="404142"/>
              </w:rPr>
            </w:pPr>
            <w:r w:rsidRPr="002E0D67">
              <w:rPr>
                <w:rFonts w:ascii="Arial" w:hAnsi="Arial" w:cs="Arial"/>
                <w:color w:val="404142"/>
              </w:rPr>
              <w:t>Batlow</w:t>
            </w:r>
          </w:p>
        </w:tc>
        <w:tc>
          <w:tcPr>
            <w:tcW w:w="3242" w:type="dxa"/>
          </w:tcPr>
          <w:p w14:paraId="1FD79C47" w14:textId="298C1579" w:rsidR="000765B1" w:rsidRPr="002E0D67" w:rsidRDefault="000765B1" w:rsidP="00025260">
            <w:pPr>
              <w:tabs>
                <w:tab w:val="left" w:pos="691"/>
              </w:tabs>
              <w:spacing w:before="60" w:after="60"/>
              <w:jc w:val="center"/>
              <w:rPr>
                <w:rFonts w:ascii="Arial" w:hAnsi="Arial" w:cs="Arial"/>
                <w:color w:val="404142"/>
              </w:rPr>
            </w:pPr>
            <w:r w:rsidRPr="002E0D67">
              <w:rPr>
                <w:rFonts w:ascii="Arial" w:hAnsi="Arial" w:cs="Arial"/>
                <w:color w:val="404142"/>
              </w:rPr>
              <w:t xml:space="preserve">68 </w:t>
            </w:r>
          </w:p>
        </w:tc>
        <w:tc>
          <w:tcPr>
            <w:tcW w:w="1448" w:type="dxa"/>
            <w:shd w:val="clear" w:color="auto" w:fill="auto"/>
          </w:tcPr>
          <w:p w14:paraId="2D930525" w14:textId="691ABB82" w:rsidR="000765B1" w:rsidRPr="002E0D67" w:rsidRDefault="000765B1" w:rsidP="00FB43EE">
            <w:pPr>
              <w:tabs>
                <w:tab w:val="decimal" w:pos="504"/>
              </w:tabs>
              <w:spacing w:before="60" w:after="60"/>
              <w:rPr>
                <w:rFonts w:ascii="Arial" w:hAnsi="Arial" w:cs="Arial"/>
                <w:color w:val="404142"/>
              </w:rPr>
            </w:pPr>
            <w:r w:rsidRPr="002E0D67">
              <w:rPr>
                <w:rFonts w:ascii="Arial" w:hAnsi="Arial" w:cs="Arial"/>
                <w:color w:val="404142"/>
              </w:rPr>
              <w:t xml:space="preserve"> 6.6%</w:t>
            </w:r>
          </w:p>
        </w:tc>
        <w:tc>
          <w:tcPr>
            <w:tcW w:w="1414" w:type="dxa"/>
            <w:vMerge/>
          </w:tcPr>
          <w:p w14:paraId="587BD2EE" w14:textId="77777777" w:rsidR="000765B1" w:rsidRPr="002E0D67" w:rsidRDefault="000765B1" w:rsidP="00FB43EE">
            <w:pPr>
              <w:tabs>
                <w:tab w:val="decimal" w:pos="504"/>
              </w:tabs>
              <w:spacing w:before="60" w:after="60"/>
              <w:rPr>
                <w:rFonts w:ascii="Arial" w:hAnsi="Arial" w:cs="Arial"/>
                <w:color w:val="404142"/>
              </w:rPr>
            </w:pPr>
          </w:p>
        </w:tc>
      </w:tr>
      <w:tr w:rsidR="000765B1" w:rsidRPr="002E0D67" w14:paraId="28D9816E" w14:textId="2157DCB0" w:rsidTr="000765B1">
        <w:tc>
          <w:tcPr>
            <w:tcW w:w="2679" w:type="dxa"/>
          </w:tcPr>
          <w:p w14:paraId="4C07A979" w14:textId="5CD330C2" w:rsidR="000765B1" w:rsidRPr="002E0D67" w:rsidRDefault="000765B1" w:rsidP="00CD2408">
            <w:pPr>
              <w:spacing w:before="60" w:after="60"/>
              <w:rPr>
                <w:rFonts w:ascii="Arial" w:hAnsi="Arial" w:cs="Arial"/>
                <w:color w:val="404142"/>
              </w:rPr>
            </w:pPr>
            <w:r w:rsidRPr="002E0D67">
              <w:rPr>
                <w:rFonts w:ascii="Arial" w:hAnsi="Arial" w:cs="Arial"/>
                <w:color w:val="404142"/>
              </w:rPr>
              <w:t>Khancoban</w:t>
            </w:r>
          </w:p>
        </w:tc>
        <w:tc>
          <w:tcPr>
            <w:tcW w:w="3242" w:type="dxa"/>
          </w:tcPr>
          <w:p w14:paraId="5CFD70FB" w14:textId="04457D40" w:rsidR="000765B1" w:rsidRPr="002E0D67" w:rsidRDefault="000765B1" w:rsidP="00025260">
            <w:pPr>
              <w:tabs>
                <w:tab w:val="left" w:pos="691"/>
              </w:tabs>
              <w:spacing w:before="60" w:after="60"/>
              <w:jc w:val="center"/>
              <w:rPr>
                <w:rFonts w:ascii="Arial" w:hAnsi="Arial" w:cs="Arial"/>
                <w:color w:val="404142"/>
              </w:rPr>
            </w:pPr>
            <w:r w:rsidRPr="002E0D67">
              <w:rPr>
                <w:rFonts w:ascii="Arial" w:hAnsi="Arial" w:cs="Arial"/>
                <w:color w:val="404142"/>
              </w:rPr>
              <w:t xml:space="preserve">15 </w:t>
            </w:r>
          </w:p>
        </w:tc>
        <w:tc>
          <w:tcPr>
            <w:tcW w:w="1448" w:type="dxa"/>
            <w:shd w:val="clear" w:color="auto" w:fill="auto"/>
          </w:tcPr>
          <w:p w14:paraId="01E427DA" w14:textId="78B29D47" w:rsidR="000765B1" w:rsidRPr="002E0D67" w:rsidRDefault="000765B1" w:rsidP="00FB43EE">
            <w:pPr>
              <w:tabs>
                <w:tab w:val="decimal" w:pos="504"/>
              </w:tabs>
              <w:spacing w:before="60" w:after="60"/>
              <w:rPr>
                <w:rFonts w:ascii="Arial" w:hAnsi="Arial" w:cs="Arial"/>
                <w:color w:val="404142"/>
              </w:rPr>
            </w:pPr>
            <w:r w:rsidRPr="002E0D67">
              <w:rPr>
                <w:rFonts w:ascii="Arial" w:hAnsi="Arial" w:cs="Arial"/>
                <w:color w:val="404142"/>
              </w:rPr>
              <w:t>6.0%</w:t>
            </w:r>
          </w:p>
        </w:tc>
        <w:tc>
          <w:tcPr>
            <w:tcW w:w="1414" w:type="dxa"/>
            <w:vMerge/>
          </w:tcPr>
          <w:p w14:paraId="42BA18D0" w14:textId="77777777" w:rsidR="000765B1" w:rsidRPr="002E0D67" w:rsidRDefault="000765B1" w:rsidP="00FB43EE">
            <w:pPr>
              <w:tabs>
                <w:tab w:val="decimal" w:pos="504"/>
              </w:tabs>
              <w:spacing w:before="60" w:after="60"/>
              <w:rPr>
                <w:rFonts w:ascii="Arial" w:hAnsi="Arial" w:cs="Arial"/>
                <w:color w:val="404142"/>
              </w:rPr>
            </w:pPr>
          </w:p>
        </w:tc>
      </w:tr>
      <w:tr w:rsidR="000765B1" w:rsidRPr="002E0D67" w14:paraId="7A21F20F" w14:textId="7856CB56" w:rsidTr="000765B1">
        <w:tc>
          <w:tcPr>
            <w:tcW w:w="2679" w:type="dxa"/>
          </w:tcPr>
          <w:p w14:paraId="0173E5F1" w14:textId="58423161" w:rsidR="000765B1" w:rsidRPr="002E0D67" w:rsidRDefault="000765B1" w:rsidP="00CD2408">
            <w:pPr>
              <w:spacing w:before="60" w:after="60"/>
              <w:rPr>
                <w:rFonts w:ascii="Arial" w:hAnsi="Arial" w:cs="Arial"/>
                <w:color w:val="404142"/>
              </w:rPr>
            </w:pPr>
            <w:r w:rsidRPr="002E0D67">
              <w:rPr>
                <w:rFonts w:ascii="Arial" w:hAnsi="Arial" w:cs="Arial"/>
                <w:color w:val="404142"/>
              </w:rPr>
              <w:t>Talbingo</w:t>
            </w:r>
          </w:p>
        </w:tc>
        <w:tc>
          <w:tcPr>
            <w:tcW w:w="3242" w:type="dxa"/>
          </w:tcPr>
          <w:p w14:paraId="56491043" w14:textId="64B70685" w:rsidR="000765B1" w:rsidRPr="002E0D67" w:rsidRDefault="000765B1" w:rsidP="00025260">
            <w:pPr>
              <w:tabs>
                <w:tab w:val="left" w:pos="691"/>
              </w:tabs>
              <w:spacing w:before="60" w:after="60"/>
              <w:jc w:val="center"/>
              <w:rPr>
                <w:rFonts w:ascii="Arial" w:hAnsi="Arial" w:cs="Arial"/>
                <w:color w:val="404142"/>
              </w:rPr>
            </w:pPr>
            <w:r w:rsidRPr="002E0D67">
              <w:rPr>
                <w:rFonts w:ascii="Arial" w:hAnsi="Arial" w:cs="Arial"/>
                <w:color w:val="404142"/>
              </w:rPr>
              <w:t xml:space="preserve">19 </w:t>
            </w:r>
          </w:p>
        </w:tc>
        <w:tc>
          <w:tcPr>
            <w:tcW w:w="1448" w:type="dxa"/>
            <w:shd w:val="clear" w:color="auto" w:fill="auto"/>
          </w:tcPr>
          <w:p w14:paraId="4C01BFA5" w14:textId="776BC9DF" w:rsidR="000765B1" w:rsidRPr="002E0D67" w:rsidRDefault="000765B1" w:rsidP="00FB43EE">
            <w:pPr>
              <w:tabs>
                <w:tab w:val="decimal" w:pos="504"/>
              </w:tabs>
              <w:spacing w:before="60" w:after="60"/>
              <w:rPr>
                <w:rFonts w:ascii="Arial" w:hAnsi="Arial" w:cs="Arial"/>
                <w:color w:val="404142"/>
              </w:rPr>
            </w:pPr>
            <w:r w:rsidRPr="002E0D67">
              <w:rPr>
                <w:rFonts w:ascii="Arial" w:hAnsi="Arial" w:cs="Arial"/>
                <w:color w:val="404142"/>
              </w:rPr>
              <w:t>8.9%</w:t>
            </w:r>
          </w:p>
        </w:tc>
        <w:tc>
          <w:tcPr>
            <w:tcW w:w="1414" w:type="dxa"/>
            <w:vMerge/>
          </w:tcPr>
          <w:p w14:paraId="34C39209" w14:textId="77777777" w:rsidR="000765B1" w:rsidRPr="002E0D67" w:rsidRDefault="000765B1" w:rsidP="00FB43EE">
            <w:pPr>
              <w:tabs>
                <w:tab w:val="decimal" w:pos="504"/>
              </w:tabs>
              <w:spacing w:before="60" w:after="60"/>
              <w:rPr>
                <w:rFonts w:ascii="Arial" w:hAnsi="Arial" w:cs="Arial"/>
                <w:color w:val="404142"/>
              </w:rPr>
            </w:pPr>
          </w:p>
        </w:tc>
      </w:tr>
      <w:tr w:rsidR="000765B1" w:rsidRPr="002E0D67" w14:paraId="242F5D90" w14:textId="4DC63D68" w:rsidTr="000765B1">
        <w:tc>
          <w:tcPr>
            <w:tcW w:w="2679" w:type="dxa"/>
          </w:tcPr>
          <w:p w14:paraId="24858500" w14:textId="404E838A" w:rsidR="000765B1" w:rsidRPr="002E0D67" w:rsidRDefault="000765B1" w:rsidP="00CD2408">
            <w:pPr>
              <w:spacing w:before="60" w:after="60"/>
              <w:rPr>
                <w:rFonts w:ascii="Arial" w:hAnsi="Arial" w:cs="Arial"/>
                <w:color w:val="404142"/>
              </w:rPr>
            </w:pPr>
            <w:r w:rsidRPr="002E0D67">
              <w:rPr>
                <w:rFonts w:ascii="Arial" w:hAnsi="Arial" w:cs="Arial"/>
                <w:color w:val="404142"/>
              </w:rPr>
              <w:t>Tumbarumba</w:t>
            </w:r>
          </w:p>
        </w:tc>
        <w:tc>
          <w:tcPr>
            <w:tcW w:w="3242" w:type="dxa"/>
          </w:tcPr>
          <w:p w14:paraId="314C0454" w14:textId="2362014B" w:rsidR="000765B1" w:rsidRPr="002E0D67" w:rsidRDefault="000765B1" w:rsidP="00025260">
            <w:pPr>
              <w:tabs>
                <w:tab w:val="left" w:pos="691"/>
              </w:tabs>
              <w:spacing w:before="60" w:after="60"/>
              <w:jc w:val="center"/>
              <w:rPr>
                <w:rFonts w:ascii="Arial" w:hAnsi="Arial" w:cs="Arial"/>
                <w:color w:val="404142"/>
              </w:rPr>
            </w:pPr>
            <w:r w:rsidRPr="002E0D67">
              <w:rPr>
                <w:rFonts w:ascii="Arial" w:hAnsi="Arial" w:cs="Arial"/>
                <w:color w:val="404142"/>
              </w:rPr>
              <w:t xml:space="preserve">117 </w:t>
            </w:r>
          </w:p>
        </w:tc>
        <w:tc>
          <w:tcPr>
            <w:tcW w:w="1448" w:type="dxa"/>
            <w:shd w:val="clear" w:color="auto" w:fill="auto"/>
          </w:tcPr>
          <w:p w14:paraId="4C4ECE40" w14:textId="15F5E09D" w:rsidR="000765B1" w:rsidRPr="002E0D67" w:rsidRDefault="000765B1" w:rsidP="00FB43EE">
            <w:pPr>
              <w:tabs>
                <w:tab w:val="decimal" w:pos="504"/>
              </w:tabs>
              <w:spacing w:before="60" w:after="60"/>
              <w:rPr>
                <w:rFonts w:ascii="Arial" w:hAnsi="Arial" w:cs="Arial"/>
                <w:color w:val="404142"/>
              </w:rPr>
            </w:pPr>
            <w:r w:rsidRPr="002E0D67">
              <w:rPr>
                <w:rFonts w:ascii="Arial" w:hAnsi="Arial" w:cs="Arial"/>
                <w:color w:val="404142"/>
              </w:rPr>
              <w:t xml:space="preserve"> 7.7%</w:t>
            </w:r>
          </w:p>
        </w:tc>
        <w:tc>
          <w:tcPr>
            <w:tcW w:w="1414" w:type="dxa"/>
            <w:vMerge/>
          </w:tcPr>
          <w:p w14:paraId="492EAC54" w14:textId="77777777" w:rsidR="000765B1" w:rsidRPr="002E0D67" w:rsidRDefault="000765B1" w:rsidP="00FB43EE">
            <w:pPr>
              <w:tabs>
                <w:tab w:val="decimal" w:pos="504"/>
              </w:tabs>
              <w:spacing w:before="60" w:after="60"/>
              <w:rPr>
                <w:rFonts w:ascii="Arial" w:hAnsi="Arial" w:cs="Arial"/>
                <w:color w:val="404142"/>
              </w:rPr>
            </w:pPr>
          </w:p>
        </w:tc>
      </w:tr>
      <w:tr w:rsidR="000765B1" w:rsidRPr="002E0D67" w14:paraId="191C35AD" w14:textId="1E95DB6C" w:rsidTr="000765B1">
        <w:tc>
          <w:tcPr>
            <w:tcW w:w="2679" w:type="dxa"/>
          </w:tcPr>
          <w:p w14:paraId="029DC45A" w14:textId="2C566554" w:rsidR="000765B1" w:rsidRPr="002E0D67" w:rsidRDefault="000765B1" w:rsidP="00CD2408">
            <w:pPr>
              <w:spacing w:before="60" w:after="60"/>
              <w:rPr>
                <w:rFonts w:ascii="Arial" w:hAnsi="Arial" w:cs="Arial"/>
                <w:color w:val="404142"/>
              </w:rPr>
            </w:pPr>
            <w:r w:rsidRPr="002E0D67">
              <w:rPr>
                <w:rFonts w:ascii="Arial" w:hAnsi="Arial" w:cs="Arial"/>
                <w:color w:val="404142"/>
              </w:rPr>
              <w:t>Tumut</w:t>
            </w:r>
          </w:p>
        </w:tc>
        <w:tc>
          <w:tcPr>
            <w:tcW w:w="3242" w:type="dxa"/>
          </w:tcPr>
          <w:p w14:paraId="798270E8" w14:textId="2C7ED488" w:rsidR="000765B1" w:rsidRPr="002E0D67" w:rsidRDefault="000765B1" w:rsidP="00025260">
            <w:pPr>
              <w:tabs>
                <w:tab w:val="left" w:pos="691"/>
              </w:tabs>
              <w:spacing w:before="60" w:after="60"/>
              <w:jc w:val="center"/>
              <w:rPr>
                <w:rFonts w:ascii="Arial" w:hAnsi="Arial" w:cs="Arial"/>
                <w:color w:val="404142"/>
              </w:rPr>
            </w:pPr>
            <w:r w:rsidRPr="002E0D67">
              <w:rPr>
                <w:rFonts w:ascii="Arial" w:hAnsi="Arial" w:cs="Arial"/>
                <w:color w:val="404142"/>
              </w:rPr>
              <w:t xml:space="preserve">499 </w:t>
            </w:r>
          </w:p>
        </w:tc>
        <w:tc>
          <w:tcPr>
            <w:tcW w:w="1448" w:type="dxa"/>
            <w:shd w:val="clear" w:color="auto" w:fill="auto"/>
          </w:tcPr>
          <w:p w14:paraId="1C3267AD" w14:textId="5BEA8C14" w:rsidR="000765B1" w:rsidRPr="002E0D67" w:rsidRDefault="000765B1" w:rsidP="00FB43EE">
            <w:pPr>
              <w:tabs>
                <w:tab w:val="decimal" w:pos="504"/>
              </w:tabs>
              <w:spacing w:before="60" w:after="60"/>
              <w:rPr>
                <w:rFonts w:ascii="Arial" w:hAnsi="Arial" w:cs="Arial"/>
                <w:color w:val="404142"/>
              </w:rPr>
            </w:pPr>
            <w:r w:rsidRPr="002E0D67">
              <w:rPr>
                <w:rFonts w:ascii="Arial" w:hAnsi="Arial" w:cs="Arial"/>
                <w:color w:val="404142"/>
              </w:rPr>
              <w:t xml:space="preserve">7.6% </w:t>
            </w:r>
          </w:p>
        </w:tc>
        <w:tc>
          <w:tcPr>
            <w:tcW w:w="1414" w:type="dxa"/>
            <w:vMerge/>
          </w:tcPr>
          <w:p w14:paraId="760F8DF5" w14:textId="77777777" w:rsidR="000765B1" w:rsidRPr="002E0D67" w:rsidRDefault="000765B1" w:rsidP="00FB43EE">
            <w:pPr>
              <w:tabs>
                <w:tab w:val="decimal" w:pos="504"/>
              </w:tabs>
              <w:spacing w:before="60" w:after="60"/>
              <w:rPr>
                <w:rFonts w:ascii="Arial" w:hAnsi="Arial" w:cs="Arial"/>
                <w:color w:val="404142"/>
              </w:rPr>
            </w:pPr>
          </w:p>
        </w:tc>
      </w:tr>
      <w:tr w:rsidR="001908B5" w:rsidRPr="002E0D67" w14:paraId="68AA1EFC" w14:textId="4DC5D408" w:rsidTr="000765B1">
        <w:tc>
          <w:tcPr>
            <w:tcW w:w="2679" w:type="dxa"/>
            <w:shd w:val="clear" w:color="auto" w:fill="D9E2F3" w:themeFill="accent1" w:themeFillTint="33"/>
          </w:tcPr>
          <w:p w14:paraId="77F4FF7D" w14:textId="59BA3A97" w:rsidR="001908B5" w:rsidRPr="002E0D67" w:rsidRDefault="001908B5" w:rsidP="00CD2408">
            <w:pPr>
              <w:spacing w:before="60" w:after="60"/>
              <w:rPr>
                <w:rFonts w:ascii="Arial" w:hAnsi="Arial" w:cs="Arial"/>
                <w:b/>
                <w:bCs/>
                <w:color w:val="404142"/>
              </w:rPr>
            </w:pPr>
            <w:r w:rsidRPr="002E0D67">
              <w:rPr>
                <w:rFonts w:ascii="Arial" w:hAnsi="Arial" w:cs="Arial"/>
                <w:b/>
                <w:bCs/>
                <w:color w:val="404142"/>
              </w:rPr>
              <w:t>Total</w:t>
            </w:r>
          </w:p>
        </w:tc>
        <w:tc>
          <w:tcPr>
            <w:tcW w:w="3242" w:type="dxa"/>
            <w:shd w:val="clear" w:color="auto" w:fill="D9E2F3" w:themeFill="accent1" w:themeFillTint="33"/>
          </w:tcPr>
          <w:p w14:paraId="0CFA66DC" w14:textId="25CE61D1" w:rsidR="001908B5" w:rsidRPr="002E0D67" w:rsidRDefault="001908B5" w:rsidP="007617BD">
            <w:pPr>
              <w:tabs>
                <w:tab w:val="left" w:pos="691"/>
              </w:tabs>
              <w:spacing w:before="60" w:after="60"/>
              <w:jc w:val="center"/>
              <w:rPr>
                <w:rFonts w:ascii="Arial" w:hAnsi="Arial" w:cs="Arial"/>
                <w:b/>
                <w:bCs/>
                <w:color w:val="404142"/>
              </w:rPr>
            </w:pPr>
            <w:r w:rsidRPr="002E0D67">
              <w:rPr>
                <w:rFonts w:ascii="Arial" w:hAnsi="Arial" w:cs="Arial"/>
                <w:b/>
                <w:bCs/>
                <w:color w:val="404142"/>
              </w:rPr>
              <w:t>778</w:t>
            </w:r>
          </w:p>
        </w:tc>
        <w:tc>
          <w:tcPr>
            <w:tcW w:w="1448" w:type="dxa"/>
            <w:shd w:val="clear" w:color="auto" w:fill="D9E2F3" w:themeFill="accent1" w:themeFillTint="33"/>
          </w:tcPr>
          <w:p w14:paraId="7D48B08D" w14:textId="38B6A13C" w:rsidR="001908B5" w:rsidRPr="002E0D67" w:rsidRDefault="001908B5" w:rsidP="00FB43EE">
            <w:pPr>
              <w:tabs>
                <w:tab w:val="decimal" w:pos="504"/>
              </w:tabs>
              <w:spacing w:before="60" w:after="60"/>
              <w:rPr>
                <w:rFonts w:ascii="Arial" w:hAnsi="Arial" w:cs="Arial"/>
                <w:b/>
                <w:bCs/>
                <w:color w:val="404142"/>
              </w:rPr>
            </w:pPr>
            <w:r w:rsidRPr="002E0D67">
              <w:rPr>
                <w:rFonts w:ascii="Arial" w:hAnsi="Arial" w:cs="Arial"/>
                <w:b/>
                <w:bCs/>
                <w:color w:val="404142"/>
              </w:rPr>
              <w:t>6.1%</w:t>
            </w:r>
          </w:p>
        </w:tc>
        <w:tc>
          <w:tcPr>
            <w:tcW w:w="1414" w:type="dxa"/>
            <w:shd w:val="clear" w:color="auto" w:fill="D9E2F3" w:themeFill="accent1" w:themeFillTint="33"/>
          </w:tcPr>
          <w:p w14:paraId="396423A1" w14:textId="4E522BC5" w:rsidR="001908B5" w:rsidRPr="002E0D67" w:rsidRDefault="001908B5" w:rsidP="00FB43EE">
            <w:pPr>
              <w:tabs>
                <w:tab w:val="decimal" w:pos="504"/>
              </w:tabs>
              <w:spacing w:before="60" w:after="60"/>
              <w:rPr>
                <w:rFonts w:ascii="Arial" w:hAnsi="Arial" w:cs="Arial"/>
                <w:b/>
                <w:bCs/>
                <w:color w:val="404142"/>
              </w:rPr>
            </w:pPr>
            <w:r w:rsidRPr="002E0D67">
              <w:rPr>
                <w:rFonts w:ascii="Arial" w:hAnsi="Arial" w:cs="Arial"/>
                <w:b/>
                <w:bCs/>
                <w:color w:val="404142"/>
              </w:rPr>
              <w:t>6.8%</w:t>
            </w:r>
          </w:p>
        </w:tc>
      </w:tr>
    </w:tbl>
    <w:bookmarkEnd w:id="25"/>
    <w:p w14:paraId="04ADA450" w14:textId="53F4C001" w:rsidR="00924689" w:rsidRPr="002E0D67" w:rsidRDefault="001E5B3E" w:rsidP="00830E52">
      <w:pPr>
        <w:rPr>
          <w:rFonts w:ascii="Arial" w:hAnsi="Arial" w:cs="Arial"/>
        </w:rPr>
      </w:pPr>
      <w:r w:rsidRPr="002E0D67">
        <w:rPr>
          <w:rFonts w:ascii="Arial" w:hAnsi="Arial" w:cs="Arial"/>
          <w:i/>
          <w:iCs/>
        </w:rPr>
        <w:t>Source:  Census Data</w:t>
      </w:r>
      <w:r w:rsidR="0066779B">
        <w:rPr>
          <w:rFonts w:ascii="Arial" w:hAnsi="Arial" w:cs="Arial"/>
          <w:i/>
          <w:iCs/>
        </w:rPr>
        <w:t xml:space="preserve"> Year</w:t>
      </w:r>
    </w:p>
    <w:p w14:paraId="1D9F1860" w14:textId="7CAEAB98" w:rsidR="00025260" w:rsidRPr="001F4A89" w:rsidRDefault="001908B5" w:rsidP="00595205">
      <w:pPr>
        <w:jc w:val="both"/>
        <w:rPr>
          <w:rFonts w:ascii="Arial" w:hAnsi="Arial" w:cs="Arial"/>
        </w:rPr>
      </w:pPr>
      <w:r w:rsidRPr="001F4A89">
        <w:rPr>
          <w:rFonts w:ascii="Arial" w:hAnsi="Arial" w:cs="Arial"/>
        </w:rPr>
        <w:t xml:space="preserve">The need for assistance of people in the </w:t>
      </w:r>
      <w:r w:rsidR="001012FC" w:rsidRPr="001F4A89">
        <w:rPr>
          <w:rFonts w:ascii="Arial" w:hAnsi="Arial" w:cs="Arial"/>
        </w:rPr>
        <w:t xml:space="preserve">area </w:t>
      </w:r>
      <w:r w:rsidRPr="001F4A89">
        <w:rPr>
          <w:rFonts w:ascii="Arial" w:hAnsi="Arial" w:cs="Arial"/>
        </w:rPr>
        <w:t>compared to Regional NSW shows that there was a lower proportion of people who reported needing assistance with core activities.</w:t>
      </w:r>
    </w:p>
    <w:p w14:paraId="5D112392" w14:textId="0342F32B" w:rsidR="001908B5" w:rsidRPr="001F4A89" w:rsidRDefault="001908B5" w:rsidP="00863710">
      <w:pPr>
        <w:jc w:val="both"/>
        <w:rPr>
          <w:rFonts w:ascii="Arial" w:hAnsi="Arial" w:cs="Arial"/>
        </w:rPr>
      </w:pPr>
      <w:proofErr w:type="gramStart"/>
      <w:r w:rsidRPr="001F4A89">
        <w:rPr>
          <w:rFonts w:ascii="Arial" w:hAnsi="Arial" w:cs="Arial"/>
        </w:rPr>
        <w:t>Overall</w:t>
      </w:r>
      <w:proofErr w:type="gramEnd"/>
      <w:r w:rsidRPr="001F4A89">
        <w:rPr>
          <w:rFonts w:ascii="Arial" w:hAnsi="Arial" w:cs="Arial"/>
        </w:rPr>
        <w:t xml:space="preserve"> 6.1% of the population reported requiring assistance with core activities, compared with 6.8% for Regional NSW</w:t>
      </w:r>
      <w:r w:rsidR="0066779B" w:rsidRPr="001F4A89">
        <w:rPr>
          <w:rFonts w:ascii="Arial" w:hAnsi="Arial" w:cs="Arial"/>
        </w:rPr>
        <w:t>.</w:t>
      </w:r>
    </w:p>
    <w:p w14:paraId="2D379100" w14:textId="64C76E59" w:rsidR="001918B0" w:rsidRPr="00863710" w:rsidRDefault="0020475F" w:rsidP="00863710">
      <w:pPr>
        <w:pStyle w:val="Heading1"/>
        <w:rPr>
          <w:rFonts w:ascii="Arial" w:hAnsi="Arial" w:cs="Arial"/>
          <w:b/>
          <w:bCs/>
          <w:sz w:val="22"/>
          <w:szCs w:val="22"/>
        </w:rPr>
      </w:pPr>
      <w:bookmarkStart w:id="26" w:name="_Toc156305608"/>
      <w:r w:rsidRPr="00863710">
        <w:rPr>
          <w:rFonts w:ascii="Arial" w:hAnsi="Arial" w:cs="Arial"/>
          <w:b/>
          <w:bCs/>
          <w:sz w:val="22"/>
          <w:szCs w:val="22"/>
        </w:rPr>
        <w:t>Regional SEIFA Scores and Percentiles</w:t>
      </w:r>
      <w:bookmarkEnd w:id="26"/>
    </w:p>
    <w:p w14:paraId="4674B013" w14:textId="3688F54F" w:rsidR="001918B0" w:rsidRPr="001F4A89" w:rsidRDefault="001918B0" w:rsidP="001918B0">
      <w:pPr>
        <w:pStyle w:val="BodyText"/>
        <w:spacing w:before="27"/>
        <w:jc w:val="both"/>
        <w:rPr>
          <w:rFonts w:ascii="Arial" w:eastAsiaTheme="minorHAnsi" w:hAnsi="Arial" w:cs="Arial"/>
          <w:kern w:val="2"/>
          <w:lang w:val="en-AU"/>
          <w14:ligatures w14:val="standardContextual"/>
        </w:rPr>
      </w:pPr>
      <w:r w:rsidRPr="001F4A89">
        <w:rPr>
          <w:rFonts w:ascii="Arial" w:eastAsiaTheme="minorHAnsi" w:hAnsi="Arial" w:cs="Arial"/>
          <w:kern w:val="2"/>
          <w:lang w:val="en-AU"/>
          <w14:ligatures w14:val="standardContextual"/>
        </w:rPr>
        <w:t xml:space="preserve">Index of Relative Socio-Economic Disadvantage (IRSD) summarises information about the economic and social conditions of people and households within </w:t>
      </w:r>
      <w:r w:rsidR="000E3A77" w:rsidRPr="001F4A89">
        <w:rPr>
          <w:rFonts w:ascii="Arial" w:eastAsiaTheme="minorHAnsi" w:hAnsi="Arial" w:cs="Arial"/>
          <w:kern w:val="2"/>
          <w:lang w:val="en-AU"/>
          <w14:ligatures w14:val="standardContextual"/>
        </w:rPr>
        <w:t>SVC</w:t>
      </w:r>
      <w:r w:rsidR="00013CC7" w:rsidRPr="001F4A89">
        <w:rPr>
          <w:rFonts w:ascii="Arial" w:eastAsiaTheme="minorHAnsi" w:hAnsi="Arial" w:cs="Arial"/>
          <w:kern w:val="2"/>
          <w:lang w:val="en-AU"/>
          <w14:ligatures w14:val="standardContextual"/>
        </w:rPr>
        <w:t>.</w:t>
      </w:r>
    </w:p>
    <w:p w14:paraId="0593B075" w14:textId="77777777" w:rsidR="001918B0" w:rsidRPr="001F4A89" w:rsidRDefault="001918B0" w:rsidP="001918B0">
      <w:pPr>
        <w:pStyle w:val="BodyText"/>
        <w:spacing w:before="27"/>
        <w:jc w:val="both"/>
        <w:rPr>
          <w:rFonts w:ascii="Arial" w:eastAsiaTheme="minorHAnsi" w:hAnsi="Arial" w:cs="Arial"/>
          <w:kern w:val="2"/>
          <w:lang w:val="en-AU"/>
          <w14:ligatures w14:val="standardContextual"/>
        </w:rPr>
      </w:pPr>
    </w:p>
    <w:p w14:paraId="0DE52D08" w14:textId="77777777" w:rsidR="001918B0" w:rsidRPr="001F4A89" w:rsidRDefault="001918B0" w:rsidP="001918B0">
      <w:pPr>
        <w:pStyle w:val="BodyText"/>
        <w:spacing w:before="27"/>
        <w:jc w:val="both"/>
        <w:rPr>
          <w:rFonts w:ascii="Arial" w:eastAsiaTheme="minorHAnsi" w:hAnsi="Arial" w:cs="Arial"/>
          <w:kern w:val="2"/>
          <w:lang w:val="en-AU"/>
          <w14:ligatures w14:val="standardContextual"/>
        </w:rPr>
      </w:pPr>
      <w:r w:rsidRPr="001F4A89">
        <w:rPr>
          <w:rFonts w:ascii="Arial" w:eastAsiaTheme="minorHAnsi" w:hAnsi="Arial" w:cs="Arial"/>
          <w:kern w:val="2"/>
          <w:lang w:val="en-AU"/>
          <w14:ligatures w14:val="standardContextual"/>
        </w:rPr>
        <w:t>Index of Relative Socio-Economic Advantage and Disadvantage (IRSAD) provides a general measure of analysis and how it is likely to be affected by both advantage and disadvantage.</w:t>
      </w:r>
    </w:p>
    <w:p w14:paraId="28F6DD35" w14:textId="77777777" w:rsidR="00B61A7C" w:rsidRPr="001F4A89" w:rsidRDefault="00B61A7C" w:rsidP="001918B0">
      <w:pPr>
        <w:pStyle w:val="BodyText"/>
        <w:spacing w:before="27"/>
        <w:jc w:val="both"/>
        <w:rPr>
          <w:rFonts w:ascii="Arial" w:eastAsiaTheme="minorHAnsi" w:hAnsi="Arial" w:cs="Arial"/>
          <w:kern w:val="2"/>
          <w:lang w:val="en-AU"/>
          <w14:ligatures w14:val="standardContextual"/>
        </w:rPr>
      </w:pPr>
    </w:p>
    <w:p w14:paraId="4C0022AC" w14:textId="4EB89342" w:rsidR="00013CC7" w:rsidRPr="001F4A89" w:rsidRDefault="00013CC7" w:rsidP="001918B0">
      <w:pPr>
        <w:pStyle w:val="BodyText"/>
        <w:spacing w:before="27"/>
        <w:jc w:val="both"/>
        <w:rPr>
          <w:rFonts w:ascii="Arial" w:eastAsiaTheme="minorHAnsi" w:hAnsi="Arial" w:cs="Arial"/>
          <w:kern w:val="2"/>
          <w:lang w:val="en-AU"/>
          <w14:ligatures w14:val="standardContextual"/>
        </w:rPr>
      </w:pPr>
      <w:r w:rsidRPr="001F4A89">
        <w:rPr>
          <w:rFonts w:ascii="Arial" w:eastAsiaTheme="minorHAnsi" w:hAnsi="Arial" w:cs="Arial"/>
          <w:kern w:val="2"/>
          <w:lang w:val="en-AU"/>
          <w14:ligatures w14:val="standardContextual"/>
        </w:rPr>
        <w:t xml:space="preserve">Socio-economic advantage and disadvantage </w:t>
      </w:r>
      <w:proofErr w:type="gramStart"/>
      <w:r w:rsidRPr="001F4A89">
        <w:rPr>
          <w:rFonts w:ascii="Arial" w:eastAsiaTheme="minorHAnsi" w:hAnsi="Arial" w:cs="Arial"/>
          <w:kern w:val="2"/>
          <w:lang w:val="en-AU"/>
          <w14:ligatures w14:val="standardContextual"/>
        </w:rPr>
        <w:t>is</w:t>
      </w:r>
      <w:proofErr w:type="gramEnd"/>
      <w:r w:rsidRPr="001F4A89">
        <w:rPr>
          <w:rFonts w:ascii="Arial" w:eastAsiaTheme="minorHAnsi" w:hAnsi="Arial" w:cs="Arial"/>
          <w:kern w:val="2"/>
          <w:lang w:val="en-AU"/>
          <w14:ligatures w14:val="standardContextual"/>
        </w:rPr>
        <w:t xml:space="preserve"> defined as people’s access to material and social resources, and their ability to participate in society. This is based on data collected in the Census including income, education, employment, occupation, </w:t>
      </w:r>
      <w:proofErr w:type="gramStart"/>
      <w:r w:rsidRPr="001F4A89">
        <w:rPr>
          <w:rFonts w:ascii="Arial" w:eastAsiaTheme="minorHAnsi" w:hAnsi="Arial" w:cs="Arial"/>
          <w:kern w:val="2"/>
          <w:lang w:val="en-AU"/>
          <w14:ligatures w14:val="standardContextual"/>
        </w:rPr>
        <w:t>housing</w:t>
      </w:r>
      <w:proofErr w:type="gramEnd"/>
      <w:r w:rsidRPr="001F4A89">
        <w:rPr>
          <w:rFonts w:ascii="Arial" w:eastAsiaTheme="minorHAnsi" w:hAnsi="Arial" w:cs="Arial"/>
          <w:kern w:val="2"/>
          <w:lang w:val="en-AU"/>
          <w14:ligatures w14:val="standardContextual"/>
        </w:rPr>
        <w:t xml:space="preserve"> and family structure.</w:t>
      </w:r>
    </w:p>
    <w:p w14:paraId="61DACC96" w14:textId="77777777" w:rsidR="00013CC7" w:rsidRPr="001F4A89" w:rsidRDefault="00013CC7" w:rsidP="001918B0">
      <w:pPr>
        <w:pStyle w:val="BodyText"/>
        <w:spacing w:before="27"/>
        <w:jc w:val="both"/>
        <w:rPr>
          <w:rFonts w:ascii="Arial" w:eastAsiaTheme="minorHAnsi" w:hAnsi="Arial" w:cs="Arial"/>
          <w:kern w:val="2"/>
          <w:lang w:val="en-AU"/>
          <w14:ligatures w14:val="standardContextual"/>
        </w:rPr>
      </w:pPr>
    </w:p>
    <w:p w14:paraId="5722E33F" w14:textId="430BC29A" w:rsidR="00427CA1" w:rsidRPr="001F4A89" w:rsidRDefault="00427CA1" w:rsidP="001918B0">
      <w:pPr>
        <w:pStyle w:val="BodyText"/>
        <w:spacing w:before="27"/>
        <w:jc w:val="both"/>
        <w:rPr>
          <w:rFonts w:ascii="Arial" w:eastAsiaTheme="minorHAnsi" w:hAnsi="Arial" w:cs="Arial"/>
          <w:i/>
          <w:iCs/>
          <w:kern w:val="2"/>
          <w:lang w:val="en-AU"/>
          <w14:ligatures w14:val="standardContextual"/>
        </w:rPr>
      </w:pPr>
      <w:r w:rsidRPr="001F4A89">
        <w:rPr>
          <w:rFonts w:ascii="Arial" w:eastAsiaTheme="minorHAnsi" w:hAnsi="Arial" w:cs="Arial"/>
          <w:i/>
          <w:iCs/>
          <w:kern w:val="2"/>
          <w:lang w:val="en-AU"/>
          <w14:ligatures w14:val="standardContextual"/>
        </w:rPr>
        <w:t>Lower scores indicate areas of relative disadvantage compared to areas with higher scores.</w:t>
      </w:r>
    </w:p>
    <w:p w14:paraId="63CBBBD1" w14:textId="77777777" w:rsidR="00427CA1" w:rsidRPr="001F4A89" w:rsidRDefault="00427CA1" w:rsidP="001918B0">
      <w:pPr>
        <w:pStyle w:val="BodyText"/>
        <w:spacing w:before="27"/>
        <w:jc w:val="both"/>
        <w:rPr>
          <w:rFonts w:ascii="Arial" w:eastAsiaTheme="minorHAnsi" w:hAnsi="Arial" w:cs="Arial"/>
          <w:kern w:val="2"/>
          <w:lang w:val="en-AU"/>
          <w14:ligatures w14:val="standardContextual"/>
        </w:rPr>
      </w:pPr>
    </w:p>
    <w:p w14:paraId="549D5253" w14:textId="38EF633D" w:rsidR="00B61A7C" w:rsidRPr="001F4A89" w:rsidRDefault="005F2C74" w:rsidP="00830E52">
      <w:pPr>
        <w:rPr>
          <w:rFonts w:ascii="Arial" w:hAnsi="Arial" w:cs="Arial"/>
        </w:rPr>
      </w:pPr>
      <w:r w:rsidRPr="001F4A89">
        <w:rPr>
          <w:rFonts w:ascii="Arial" w:hAnsi="Arial" w:cs="Arial"/>
        </w:rPr>
        <w:t xml:space="preserve">Upon examining both the IRSD and IRSAD indexes, it is evident that the </w:t>
      </w:r>
      <w:r w:rsidR="000341FC" w:rsidRPr="001F4A89">
        <w:rPr>
          <w:rFonts w:ascii="Arial" w:hAnsi="Arial" w:cs="Arial"/>
        </w:rPr>
        <w:t xml:space="preserve">LGA </w:t>
      </w:r>
      <w:r w:rsidRPr="001F4A89">
        <w:rPr>
          <w:rFonts w:ascii="Arial" w:hAnsi="Arial" w:cs="Arial"/>
        </w:rPr>
        <w:t xml:space="preserve">experiences levels of disadvantage </w:t>
      </w:r>
      <w:r w:rsidR="00BB1999" w:rsidRPr="001F4A89">
        <w:rPr>
          <w:rFonts w:ascii="Arial" w:hAnsi="Arial" w:cs="Arial"/>
        </w:rPr>
        <w:t>higher</w:t>
      </w:r>
      <w:r w:rsidRPr="001F4A89">
        <w:rPr>
          <w:rFonts w:ascii="Arial" w:hAnsi="Arial" w:cs="Arial"/>
        </w:rPr>
        <w:t xml:space="preserve"> than the Regional NSW average. Additionally, a decrease in the percentile score between the IRSD and IRSAD indices implies reduced opportunities within the Local Government Area (LGA), such as a limited number of employment options in the area.</w:t>
      </w:r>
    </w:p>
    <w:tbl>
      <w:tblPr>
        <w:tblStyle w:val="TableGrid"/>
        <w:tblW w:w="0" w:type="auto"/>
        <w:tblLook w:val="04A0" w:firstRow="1" w:lastRow="0" w:firstColumn="1" w:lastColumn="0" w:noHBand="0" w:noVBand="1"/>
      </w:tblPr>
      <w:tblGrid>
        <w:gridCol w:w="3165"/>
        <w:gridCol w:w="1641"/>
        <w:gridCol w:w="1268"/>
        <w:gridCol w:w="1674"/>
        <w:gridCol w:w="1268"/>
      </w:tblGrid>
      <w:tr w:rsidR="009B6CC0" w:rsidRPr="002E0D67" w14:paraId="39E8ADDA" w14:textId="77777777" w:rsidTr="00E3285F">
        <w:tc>
          <w:tcPr>
            <w:tcW w:w="3256" w:type="dxa"/>
            <w:shd w:val="clear" w:color="auto" w:fill="002060"/>
          </w:tcPr>
          <w:p w14:paraId="7744E1CD" w14:textId="1E4594DA"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Region</w:t>
            </w:r>
          </w:p>
        </w:tc>
        <w:tc>
          <w:tcPr>
            <w:tcW w:w="1658" w:type="dxa"/>
            <w:shd w:val="clear" w:color="auto" w:fill="002060"/>
          </w:tcPr>
          <w:p w14:paraId="28977946" w14:textId="1121B624"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SEIFA – IRSD</w:t>
            </w:r>
          </w:p>
        </w:tc>
        <w:tc>
          <w:tcPr>
            <w:tcW w:w="1187" w:type="dxa"/>
            <w:shd w:val="clear" w:color="auto" w:fill="002060"/>
          </w:tcPr>
          <w:p w14:paraId="56143963" w14:textId="004464C3"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Percentile</w:t>
            </w:r>
          </w:p>
        </w:tc>
        <w:tc>
          <w:tcPr>
            <w:tcW w:w="1692" w:type="dxa"/>
            <w:shd w:val="clear" w:color="auto" w:fill="002060"/>
          </w:tcPr>
          <w:p w14:paraId="60EA6554" w14:textId="645986CE"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SEIFA-IRSAD</w:t>
            </w:r>
          </w:p>
        </w:tc>
        <w:tc>
          <w:tcPr>
            <w:tcW w:w="1223" w:type="dxa"/>
            <w:shd w:val="clear" w:color="auto" w:fill="002060"/>
          </w:tcPr>
          <w:p w14:paraId="1B3E239B" w14:textId="40236E06"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Percentile</w:t>
            </w:r>
          </w:p>
        </w:tc>
      </w:tr>
      <w:tr w:rsidR="0020475F" w:rsidRPr="002E0D67" w14:paraId="4EAA42A3" w14:textId="77777777" w:rsidTr="00E3285F">
        <w:tc>
          <w:tcPr>
            <w:tcW w:w="3256" w:type="dxa"/>
            <w:shd w:val="clear" w:color="auto" w:fill="D9E2F3" w:themeFill="accent1" w:themeFillTint="33"/>
          </w:tcPr>
          <w:p w14:paraId="2E62550B" w14:textId="55105EE9" w:rsidR="0020475F" w:rsidRPr="002E0D67" w:rsidRDefault="000E3A77" w:rsidP="0020475F">
            <w:pPr>
              <w:spacing w:before="60" w:after="60"/>
              <w:rPr>
                <w:rFonts w:ascii="Arial" w:hAnsi="Arial" w:cs="Arial"/>
                <w:i/>
                <w:iCs/>
                <w:color w:val="404142"/>
              </w:rPr>
            </w:pPr>
            <w:r>
              <w:rPr>
                <w:rFonts w:ascii="Arial" w:hAnsi="Arial" w:cs="Arial"/>
                <w:i/>
                <w:iCs/>
                <w:color w:val="404142"/>
              </w:rPr>
              <w:t>SVC</w:t>
            </w:r>
          </w:p>
        </w:tc>
        <w:tc>
          <w:tcPr>
            <w:tcW w:w="1658" w:type="dxa"/>
            <w:shd w:val="clear" w:color="auto" w:fill="D9E2F3" w:themeFill="accent1" w:themeFillTint="33"/>
          </w:tcPr>
          <w:p w14:paraId="0D656077" w14:textId="6CA37756"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952.5</w:t>
            </w:r>
            <w:r w:rsidR="00A43729" w:rsidRPr="002E0D67">
              <w:rPr>
                <w:rFonts w:ascii="Arial" w:hAnsi="Arial" w:cs="Arial"/>
                <w:color w:val="404142"/>
              </w:rPr>
              <w:t>0</w:t>
            </w:r>
          </w:p>
        </w:tc>
        <w:tc>
          <w:tcPr>
            <w:tcW w:w="1187" w:type="dxa"/>
            <w:shd w:val="clear" w:color="auto" w:fill="D9E2F3" w:themeFill="accent1" w:themeFillTint="33"/>
          </w:tcPr>
          <w:p w14:paraId="05326411" w14:textId="52CCEFF8"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20</w:t>
            </w:r>
          </w:p>
        </w:tc>
        <w:tc>
          <w:tcPr>
            <w:tcW w:w="1692" w:type="dxa"/>
            <w:shd w:val="clear" w:color="auto" w:fill="D9E2F3" w:themeFill="accent1" w:themeFillTint="33"/>
          </w:tcPr>
          <w:p w14:paraId="79358171" w14:textId="0F5B7274" w:rsidR="0020475F" w:rsidRPr="00863710" w:rsidRDefault="00224C1B" w:rsidP="001918B0">
            <w:pPr>
              <w:tabs>
                <w:tab w:val="decimal" w:pos="745"/>
              </w:tabs>
              <w:spacing w:before="60" w:after="60"/>
              <w:rPr>
                <w:rFonts w:ascii="Arial" w:hAnsi="Arial" w:cs="Arial"/>
                <w:color w:val="404142"/>
              </w:rPr>
            </w:pPr>
            <w:r w:rsidRPr="00863710">
              <w:rPr>
                <w:rFonts w:ascii="Arial" w:hAnsi="Arial" w:cs="Arial"/>
                <w:color w:val="404142"/>
              </w:rPr>
              <w:t>916</w:t>
            </w:r>
            <w:r w:rsidR="005F2C74">
              <w:rPr>
                <w:rFonts w:ascii="Arial" w:hAnsi="Arial" w:cs="Arial"/>
                <w:color w:val="404142"/>
              </w:rPr>
              <w:t>.00</w:t>
            </w:r>
          </w:p>
        </w:tc>
        <w:tc>
          <w:tcPr>
            <w:tcW w:w="1223" w:type="dxa"/>
            <w:shd w:val="clear" w:color="auto" w:fill="D9E2F3" w:themeFill="accent1" w:themeFillTint="33"/>
          </w:tcPr>
          <w:p w14:paraId="14B3BEC5" w14:textId="7D156DF8" w:rsidR="0020475F" w:rsidRPr="002E0D67" w:rsidRDefault="00845894" w:rsidP="001918B0">
            <w:pPr>
              <w:spacing w:before="60" w:after="60"/>
              <w:jc w:val="center"/>
              <w:rPr>
                <w:rFonts w:ascii="Arial" w:hAnsi="Arial" w:cs="Arial"/>
                <w:color w:val="404142"/>
              </w:rPr>
            </w:pPr>
            <w:r w:rsidRPr="002E0D67">
              <w:rPr>
                <w:rFonts w:ascii="Arial" w:hAnsi="Arial" w:cs="Arial"/>
                <w:color w:val="404142"/>
              </w:rPr>
              <w:t>19</w:t>
            </w:r>
          </w:p>
        </w:tc>
      </w:tr>
      <w:tr w:rsidR="0020475F" w:rsidRPr="002E0D67" w14:paraId="499377F0" w14:textId="77777777" w:rsidTr="00E3285F">
        <w:tc>
          <w:tcPr>
            <w:tcW w:w="3256" w:type="dxa"/>
          </w:tcPr>
          <w:p w14:paraId="74CB5475" w14:textId="34AC3AED" w:rsidR="0020475F" w:rsidRPr="002E0D67" w:rsidRDefault="0020475F" w:rsidP="0020475F">
            <w:pPr>
              <w:spacing w:before="60" w:after="60"/>
              <w:rPr>
                <w:rFonts w:ascii="Arial" w:hAnsi="Arial" w:cs="Arial"/>
                <w:color w:val="404142"/>
              </w:rPr>
            </w:pPr>
            <w:r w:rsidRPr="002E0D67">
              <w:rPr>
                <w:rFonts w:ascii="Arial" w:hAnsi="Arial" w:cs="Arial"/>
                <w:color w:val="404142"/>
              </w:rPr>
              <w:t>Canberra Region</w:t>
            </w:r>
          </w:p>
        </w:tc>
        <w:tc>
          <w:tcPr>
            <w:tcW w:w="1658" w:type="dxa"/>
          </w:tcPr>
          <w:p w14:paraId="37740643" w14:textId="56F6AAC6"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1014.30</w:t>
            </w:r>
          </w:p>
        </w:tc>
        <w:tc>
          <w:tcPr>
            <w:tcW w:w="1187" w:type="dxa"/>
          </w:tcPr>
          <w:p w14:paraId="7921189F" w14:textId="0279C2E4"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50</w:t>
            </w:r>
          </w:p>
        </w:tc>
        <w:tc>
          <w:tcPr>
            <w:tcW w:w="1692" w:type="dxa"/>
            <w:shd w:val="clear" w:color="auto" w:fill="auto"/>
          </w:tcPr>
          <w:p w14:paraId="05BA7544" w14:textId="56260C03" w:rsidR="0020475F" w:rsidRPr="002E0D67" w:rsidRDefault="00845894" w:rsidP="001918B0">
            <w:pPr>
              <w:tabs>
                <w:tab w:val="decimal" w:pos="745"/>
              </w:tabs>
              <w:spacing w:before="60" w:after="60"/>
              <w:rPr>
                <w:rFonts w:ascii="Arial" w:hAnsi="Arial" w:cs="Arial"/>
                <w:color w:val="404142"/>
              </w:rPr>
            </w:pPr>
            <w:r w:rsidRPr="002E0D67">
              <w:rPr>
                <w:rFonts w:ascii="Arial" w:hAnsi="Arial" w:cs="Arial"/>
                <w:color w:val="404142"/>
              </w:rPr>
              <w:t>993.7</w:t>
            </w:r>
            <w:r w:rsidR="00A43729" w:rsidRPr="002E0D67">
              <w:rPr>
                <w:rFonts w:ascii="Arial" w:hAnsi="Arial" w:cs="Arial"/>
                <w:color w:val="404142"/>
              </w:rPr>
              <w:t>0</w:t>
            </w:r>
          </w:p>
        </w:tc>
        <w:tc>
          <w:tcPr>
            <w:tcW w:w="1223" w:type="dxa"/>
            <w:shd w:val="clear" w:color="auto" w:fill="auto"/>
          </w:tcPr>
          <w:p w14:paraId="5D315B96" w14:textId="3FB48D98" w:rsidR="0020475F" w:rsidRPr="002E0D67" w:rsidRDefault="00845894" w:rsidP="001918B0">
            <w:pPr>
              <w:spacing w:before="60" w:after="60"/>
              <w:jc w:val="center"/>
              <w:rPr>
                <w:rFonts w:ascii="Arial" w:hAnsi="Arial" w:cs="Arial"/>
                <w:color w:val="404142"/>
              </w:rPr>
            </w:pPr>
            <w:r w:rsidRPr="002E0D67">
              <w:rPr>
                <w:rFonts w:ascii="Arial" w:hAnsi="Arial" w:cs="Arial"/>
                <w:color w:val="404142"/>
              </w:rPr>
              <w:t>55</w:t>
            </w:r>
          </w:p>
        </w:tc>
      </w:tr>
      <w:tr w:rsidR="0020475F" w:rsidRPr="002E0D67" w14:paraId="2A603606" w14:textId="77777777" w:rsidTr="00E3285F">
        <w:tc>
          <w:tcPr>
            <w:tcW w:w="3256" w:type="dxa"/>
          </w:tcPr>
          <w:p w14:paraId="396D01FD" w14:textId="31ECD442" w:rsidR="0020475F" w:rsidRPr="002E0D67" w:rsidRDefault="0020475F" w:rsidP="0020475F">
            <w:pPr>
              <w:spacing w:before="60" w:after="60"/>
              <w:rPr>
                <w:rFonts w:ascii="Arial" w:hAnsi="Arial" w:cs="Arial"/>
                <w:color w:val="404142"/>
              </w:rPr>
            </w:pPr>
            <w:r w:rsidRPr="002E0D67">
              <w:rPr>
                <w:rFonts w:ascii="Arial" w:hAnsi="Arial" w:cs="Arial"/>
                <w:color w:val="404142"/>
              </w:rPr>
              <w:t>Regional NSW</w:t>
            </w:r>
          </w:p>
        </w:tc>
        <w:tc>
          <w:tcPr>
            <w:tcW w:w="1658" w:type="dxa"/>
          </w:tcPr>
          <w:p w14:paraId="25F20B8C" w14:textId="09756B45"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982.00</w:t>
            </w:r>
          </w:p>
        </w:tc>
        <w:tc>
          <w:tcPr>
            <w:tcW w:w="1187" w:type="dxa"/>
          </w:tcPr>
          <w:p w14:paraId="51B1BC05" w14:textId="72BE61A5"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32</w:t>
            </w:r>
          </w:p>
        </w:tc>
        <w:tc>
          <w:tcPr>
            <w:tcW w:w="1692" w:type="dxa"/>
            <w:shd w:val="clear" w:color="auto" w:fill="auto"/>
          </w:tcPr>
          <w:p w14:paraId="2A86F491" w14:textId="2F9AF8E6" w:rsidR="0020475F" w:rsidRPr="002E0D67" w:rsidRDefault="00845894" w:rsidP="001918B0">
            <w:pPr>
              <w:tabs>
                <w:tab w:val="decimal" w:pos="745"/>
              </w:tabs>
              <w:spacing w:before="60" w:after="60"/>
              <w:rPr>
                <w:rFonts w:ascii="Arial" w:hAnsi="Arial" w:cs="Arial"/>
                <w:color w:val="404142"/>
              </w:rPr>
            </w:pPr>
            <w:r w:rsidRPr="002E0D67">
              <w:rPr>
                <w:rFonts w:ascii="Arial" w:hAnsi="Arial" w:cs="Arial"/>
                <w:color w:val="404142"/>
              </w:rPr>
              <w:t>962.00</w:t>
            </w:r>
          </w:p>
        </w:tc>
        <w:tc>
          <w:tcPr>
            <w:tcW w:w="1223" w:type="dxa"/>
            <w:shd w:val="clear" w:color="auto" w:fill="auto"/>
          </w:tcPr>
          <w:p w14:paraId="166135F8" w14:textId="10D4CCB9" w:rsidR="0020475F" w:rsidRPr="002E0D67" w:rsidRDefault="00845894" w:rsidP="001918B0">
            <w:pPr>
              <w:spacing w:before="60" w:after="60"/>
              <w:jc w:val="center"/>
              <w:rPr>
                <w:rFonts w:ascii="Arial" w:hAnsi="Arial" w:cs="Arial"/>
                <w:color w:val="404142"/>
              </w:rPr>
            </w:pPr>
            <w:r w:rsidRPr="002E0D67">
              <w:rPr>
                <w:rFonts w:ascii="Arial" w:hAnsi="Arial" w:cs="Arial"/>
                <w:color w:val="404142"/>
              </w:rPr>
              <w:t>36</w:t>
            </w:r>
          </w:p>
        </w:tc>
      </w:tr>
      <w:tr w:rsidR="0020475F" w:rsidRPr="002E0D67" w14:paraId="2CC08814" w14:textId="77777777" w:rsidTr="00E3285F">
        <w:tc>
          <w:tcPr>
            <w:tcW w:w="3256" w:type="dxa"/>
          </w:tcPr>
          <w:p w14:paraId="15474AB9" w14:textId="68FE10ED" w:rsidR="0020475F" w:rsidRPr="002E0D67" w:rsidRDefault="0020475F" w:rsidP="0020475F">
            <w:pPr>
              <w:spacing w:before="60" w:after="60"/>
              <w:rPr>
                <w:rFonts w:ascii="Arial" w:hAnsi="Arial" w:cs="Arial"/>
                <w:color w:val="404142"/>
              </w:rPr>
            </w:pPr>
            <w:r w:rsidRPr="002E0D67">
              <w:rPr>
                <w:rFonts w:ascii="Arial" w:hAnsi="Arial" w:cs="Arial"/>
                <w:color w:val="404142"/>
              </w:rPr>
              <w:t>New South Wales</w:t>
            </w:r>
          </w:p>
        </w:tc>
        <w:tc>
          <w:tcPr>
            <w:tcW w:w="1658" w:type="dxa"/>
          </w:tcPr>
          <w:p w14:paraId="6B0A617D" w14:textId="79D7BAE9"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1000.00</w:t>
            </w:r>
          </w:p>
        </w:tc>
        <w:tc>
          <w:tcPr>
            <w:tcW w:w="1187" w:type="dxa"/>
          </w:tcPr>
          <w:p w14:paraId="084AE0CA" w14:textId="387E6551"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42</w:t>
            </w:r>
          </w:p>
        </w:tc>
        <w:tc>
          <w:tcPr>
            <w:tcW w:w="1692" w:type="dxa"/>
            <w:shd w:val="clear" w:color="auto" w:fill="auto"/>
          </w:tcPr>
          <w:p w14:paraId="3B9E59E8" w14:textId="0CA7ACFA" w:rsidR="0020475F" w:rsidRPr="002E0D67" w:rsidRDefault="00845894" w:rsidP="001918B0">
            <w:pPr>
              <w:tabs>
                <w:tab w:val="decimal" w:pos="745"/>
              </w:tabs>
              <w:spacing w:before="60" w:after="60"/>
              <w:rPr>
                <w:rFonts w:ascii="Arial" w:hAnsi="Arial" w:cs="Arial"/>
                <w:color w:val="404142"/>
              </w:rPr>
            </w:pPr>
            <w:r w:rsidRPr="002E0D67">
              <w:rPr>
                <w:rFonts w:ascii="Arial" w:hAnsi="Arial" w:cs="Arial"/>
                <w:color w:val="404142"/>
              </w:rPr>
              <w:t>1016.0</w:t>
            </w:r>
            <w:r w:rsidR="00A43729" w:rsidRPr="002E0D67">
              <w:rPr>
                <w:rFonts w:ascii="Arial" w:hAnsi="Arial" w:cs="Arial"/>
                <w:color w:val="404142"/>
              </w:rPr>
              <w:t>0</w:t>
            </w:r>
          </w:p>
        </w:tc>
        <w:tc>
          <w:tcPr>
            <w:tcW w:w="1223" w:type="dxa"/>
            <w:shd w:val="clear" w:color="auto" w:fill="auto"/>
          </w:tcPr>
          <w:p w14:paraId="44EBFFC8" w14:textId="7A2059CD"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6</w:t>
            </w:r>
            <w:r w:rsidR="00845894" w:rsidRPr="002E0D67">
              <w:rPr>
                <w:rFonts w:ascii="Arial" w:hAnsi="Arial" w:cs="Arial"/>
                <w:color w:val="404142"/>
              </w:rPr>
              <w:t>7</w:t>
            </w:r>
          </w:p>
        </w:tc>
      </w:tr>
      <w:tr w:rsidR="0020475F" w:rsidRPr="002E0D67" w14:paraId="30085147" w14:textId="77777777" w:rsidTr="00E3285F">
        <w:tc>
          <w:tcPr>
            <w:tcW w:w="3256" w:type="dxa"/>
          </w:tcPr>
          <w:p w14:paraId="2D89AC4F" w14:textId="04AA32CE" w:rsidR="0020475F" w:rsidRPr="002E0D67" w:rsidRDefault="0020475F" w:rsidP="0020475F">
            <w:pPr>
              <w:spacing w:before="60" w:after="60"/>
              <w:rPr>
                <w:rFonts w:ascii="Arial" w:hAnsi="Arial" w:cs="Arial"/>
                <w:color w:val="404142"/>
              </w:rPr>
            </w:pPr>
            <w:r w:rsidRPr="002E0D67">
              <w:rPr>
                <w:rFonts w:ascii="Arial" w:hAnsi="Arial" w:cs="Arial"/>
                <w:color w:val="404142"/>
              </w:rPr>
              <w:t>Australia</w:t>
            </w:r>
          </w:p>
        </w:tc>
        <w:tc>
          <w:tcPr>
            <w:tcW w:w="1658" w:type="dxa"/>
          </w:tcPr>
          <w:p w14:paraId="15A42127" w14:textId="0A895C8B"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1001.20</w:t>
            </w:r>
          </w:p>
        </w:tc>
        <w:tc>
          <w:tcPr>
            <w:tcW w:w="1187" w:type="dxa"/>
          </w:tcPr>
          <w:p w14:paraId="54988F76" w14:textId="4631C678"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42</w:t>
            </w:r>
          </w:p>
        </w:tc>
        <w:tc>
          <w:tcPr>
            <w:tcW w:w="1692" w:type="dxa"/>
            <w:shd w:val="clear" w:color="auto" w:fill="auto"/>
          </w:tcPr>
          <w:p w14:paraId="7BC487D7" w14:textId="17A3BD27" w:rsidR="0020475F" w:rsidRPr="002E0D67" w:rsidRDefault="00845894" w:rsidP="001918B0">
            <w:pPr>
              <w:tabs>
                <w:tab w:val="decimal" w:pos="745"/>
              </w:tabs>
              <w:spacing w:before="60" w:after="60"/>
              <w:rPr>
                <w:rFonts w:ascii="Arial" w:hAnsi="Arial" w:cs="Arial"/>
                <w:color w:val="404142"/>
              </w:rPr>
            </w:pPr>
            <w:r w:rsidRPr="002E0D67">
              <w:rPr>
                <w:rFonts w:ascii="Arial" w:hAnsi="Arial" w:cs="Arial"/>
                <w:color w:val="404142"/>
              </w:rPr>
              <w:t>1002.6</w:t>
            </w:r>
            <w:r w:rsidR="00A43729" w:rsidRPr="002E0D67">
              <w:rPr>
                <w:rFonts w:ascii="Arial" w:hAnsi="Arial" w:cs="Arial"/>
                <w:color w:val="404142"/>
              </w:rPr>
              <w:t>0</w:t>
            </w:r>
          </w:p>
        </w:tc>
        <w:tc>
          <w:tcPr>
            <w:tcW w:w="1223" w:type="dxa"/>
            <w:shd w:val="clear" w:color="auto" w:fill="auto"/>
          </w:tcPr>
          <w:p w14:paraId="3D9C4B7A" w14:textId="2FC882D6" w:rsidR="0020475F" w:rsidRPr="002E0D67" w:rsidRDefault="00845894" w:rsidP="001918B0">
            <w:pPr>
              <w:spacing w:before="60" w:after="60"/>
              <w:jc w:val="center"/>
              <w:rPr>
                <w:rFonts w:ascii="Arial" w:hAnsi="Arial" w:cs="Arial"/>
                <w:color w:val="404142"/>
              </w:rPr>
            </w:pPr>
            <w:r w:rsidRPr="002E0D67">
              <w:rPr>
                <w:rFonts w:ascii="Arial" w:hAnsi="Arial" w:cs="Arial"/>
                <w:color w:val="404142"/>
              </w:rPr>
              <w:t>60</w:t>
            </w:r>
          </w:p>
        </w:tc>
      </w:tr>
    </w:tbl>
    <w:p w14:paraId="73EB9F52" w14:textId="22B6403F" w:rsidR="0020475F" w:rsidRPr="002E0D67" w:rsidRDefault="008029C0" w:rsidP="008029C0">
      <w:pPr>
        <w:rPr>
          <w:rFonts w:ascii="Arial" w:hAnsi="Arial" w:cs="Arial"/>
          <w:i/>
          <w:iCs/>
        </w:rPr>
      </w:pPr>
      <w:r w:rsidRPr="002E0D67">
        <w:rPr>
          <w:rFonts w:ascii="Arial" w:hAnsi="Arial" w:cs="Arial"/>
          <w:i/>
          <w:iCs/>
        </w:rPr>
        <w:t>Source:  CRJO Profile id</w:t>
      </w:r>
      <w:r w:rsidR="000765B1">
        <w:rPr>
          <w:rFonts w:ascii="Arial" w:hAnsi="Arial" w:cs="Arial"/>
          <w:i/>
          <w:iCs/>
        </w:rPr>
        <w:t xml:space="preserve"> 2021</w:t>
      </w:r>
    </w:p>
    <w:p w14:paraId="13423BE8" w14:textId="77777777" w:rsidR="00F63E34" w:rsidRPr="002E0D67" w:rsidRDefault="00F63E34" w:rsidP="00B57186">
      <w:pPr>
        <w:rPr>
          <w:rFonts w:ascii="Arial" w:hAnsi="Arial" w:cs="Arial"/>
        </w:rPr>
      </w:pPr>
    </w:p>
    <w:p w14:paraId="34562568" w14:textId="20FC89E1" w:rsidR="0020475F" w:rsidRPr="004E55F6" w:rsidRDefault="0020475F" w:rsidP="004E55F6">
      <w:pPr>
        <w:pStyle w:val="Heading1"/>
        <w:rPr>
          <w:rFonts w:ascii="Arial" w:hAnsi="Arial" w:cs="Arial"/>
          <w:b/>
          <w:bCs/>
          <w:sz w:val="22"/>
          <w:szCs w:val="22"/>
        </w:rPr>
      </w:pPr>
      <w:bookmarkStart w:id="27" w:name="_Toc156305609"/>
      <w:r w:rsidRPr="004E55F6">
        <w:rPr>
          <w:rFonts w:ascii="Arial" w:hAnsi="Arial" w:cs="Arial"/>
          <w:b/>
          <w:bCs/>
          <w:sz w:val="22"/>
          <w:szCs w:val="22"/>
        </w:rPr>
        <w:lastRenderedPageBreak/>
        <w:t>Area Level SEIFA Scores and Percentiles</w:t>
      </w:r>
      <w:bookmarkEnd w:id="27"/>
    </w:p>
    <w:p w14:paraId="1D8FC1C8" w14:textId="77777777" w:rsidR="0020475F" w:rsidRPr="002E0D67" w:rsidRDefault="0020475F" w:rsidP="0020475F">
      <w:pPr>
        <w:pStyle w:val="BodyText"/>
        <w:spacing w:line="259" w:lineRule="auto"/>
        <w:ind w:right="95"/>
        <w:jc w:val="both"/>
        <w:rPr>
          <w:rFonts w:ascii="Arial" w:hAnsi="Arial" w:cs="Arial"/>
          <w:color w:val="404142"/>
        </w:rPr>
      </w:pPr>
    </w:p>
    <w:tbl>
      <w:tblPr>
        <w:tblStyle w:val="TableGrid"/>
        <w:tblW w:w="0" w:type="auto"/>
        <w:tblLook w:val="04A0" w:firstRow="1" w:lastRow="0" w:firstColumn="1" w:lastColumn="0" w:noHBand="0" w:noVBand="1"/>
      </w:tblPr>
      <w:tblGrid>
        <w:gridCol w:w="2689"/>
        <w:gridCol w:w="1701"/>
        <w:gridCol w:w="1559"/>
        <w:gridCol w:w="1701"/>
        <w:gridCol w:w="1366"/>
      </w:tblGrid>
      <w:tr w:rsidR="009B6CC0" w:rsidRPr="002E0D67" w14:paraId="7B4389FD" w14:textId="77777777" w:rsidTr="00CD2408">
        <w:tc>
          <w:tcPr>
            <w:tcW w:w="2689" w:type="dxa"/>
            <w:shd w:val="clear" w:color="auto" w:fill="002060"/>
          </w:tcPr>
          <w:p w14:paraId="0D6E9660" w14:textId="77777777"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Region</w:t>
            </w:r>
          </w:p>
        </w:tc>
        <w:tc>
          <w:tcPr>
            <w:tcW w:w="1701" w:type="dxa"/>
            <w:shd w:val="clear" w:color="auto" w:fill="002060"/>
          </w:tcPr>
          <w:p w14:paraId="668B982C" w14:textId="77777777"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SEIFA – IRSD</w:t>
            </w:r>
          </w:p>
        </w:tc>
        <w:tc>
          <w:tcPr>
            <w:tcW w:w="1559" w:type="dxa"/>
            <w:shd w:val="clear" w:color="auto" w:fill="002060"/>
          </w:tcPr>
          <w:p w14:paraId="1459ABC6" w14:textId="77777777"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Percentile</w:t>
            </w:r>
          </w:p>
        </w:tc>
        <w:tc>
          <w:tcPr>
            <w:tcW w:w="1701" w:type="dxa"/>
            <w:shd w:val="clear" w:color="auto" w:fill="002060"/>
          </w:tcPr>
          <w:p w14:paraId="4F1F91F6" w14:textId="77777777"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SEIFA-IRSAD</w:t>
            </w:r>
          </w:p>
        </w:tc>
        <w:tc>
          <w:tcPr>
            <w:tcW w:w="1366" w:type="dxa"/>
            <w:shd w:val="clear" w:color="auto" w:fill="002060"/>
          </w:tcPr>
          <w:p w14:paraId="092F6BB4" w14:textId="77777777" w:rsidR="0020475F" w:rsidRPr="002E0D67" w:rsidRDefault="0020475F" w:rsidP="009B6CC0">
            <w:pPr>
              <w:spacing w:before="60" w:after="60"/>
              <w:jc w:val="center"/>
              <w:rPr>
                <w:rFonts w:ascii="Arial" w:hAnsi="Arial" w:cs="Arial"/>
                <w:b/>
                <w:bCs/>
                <w:color w:val="FFFFFF" w:themeColor="background1"/>
              </w:rPr>
            </w:pPr>
            <w:r w:rsidRPr="002E0D67">
              <w:rPr>
                <w:rFonts w:ascii="Arial" w:hAnsi="Arial" w:cs="Arial"/>
                <w:b/>
                <w:bCs/>
                <w:color w:val="FFFFFF" w:themeColor="background1"/>
              </w:rPr>
              <w:t>Percentile</w:t>
            </w:r>
          </w:p>
        </w:tc>
      </w:tr>
      <w:tr w:rsidR="0020475F" w:rsidRPr="002E0D67" w14:paraId="2B002496" w14:textId="77777777" w:rsidTr="00CD2408">
        <w:tc>
          <w:tcPr>
            <w:tcW w:w="2689" w:type="dxa"/>
          </w:tcPr>
          <w:p w14:paraId="6911B88D" w14:textId="6B8DA6D2" w:rsidR="0020475F" w:rsidRPr="002E0D67" w:rsidRDefault="0020475F" w:rsidP="00CD2408">
            <w:pPr>
              <w:spacing w:before="60" w:after="60"/>
              <w:rPr>
                <w:rFonts w:ascii="Arial" w:hAnsi="Arial" w:cs="Arial"/>
                <w:color w:val="404142"/>
              </w:rPr>
            </w:pPr>
            <w:r w:rsidRPr="002E0D67">
              <w:rPr>
                <w:rFonts w:ascii="Arial" w:hAnsi="Arial" w:cs="Arial"/>
                <w:color w:val="404142"/>
              </w:rPr>
              <w:t>Adelong</w:t>
            </w:r>
          </w:p>
        </w:tc>
        <w:tc>
          <w:tcPr>
            <w:tcW w:w="1701" w:type="dxa"/>
          </w:tcPr>
          <w:p w14:paraId="67E1ECFC" w14:textId="726A50D6"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984.30</w:t>
            </w:r>
          </w:p>
        </w:tc>
        <w:tc>
          <w:tcPr>
            <w:tcW w:w="1559" w:type="dxa"/>
          </w:tcPr>
          <w:p w14:paraId="614D71BC" w14:textId="5E332778"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33</w:t>
            </w:r>
          </w:p>
        </w:tc>
        <w:tc>
          <w:tcPr>
            <w:tcW w:w="1701" w:type="dxa"/>
            <w:shd w:val="clear" w:color="auto" w:fill="FFF2CC" w:themeFill="accent4" w:themeFillTint="33"/>
          </w:tcPr>
          <w:p w14:paraId="7311329A" w14:textId="4ACEFA9D" w:rsidR="0020475F" w:rsidRPr="00863710" w:rsidRDefault="00EF1D0F" w:rsidP="001918B0">
            <w:pPr>
              <w:tabs>
                <w:tab w:val="decimal" w:pos="745"/>
              </w:tabs>
              <w:spacing w:before="60" w:after="60"/>
              <w:rPr>
                <w:rFonts w:ascii="Arial" w:hAnsi="Arial" w:cs="Arial"/>
                <w:color w:val="404142"/>
              </w:rPr>
            </w:pPr>
            <w:r w:rsidRPr="00863710">
              <w:rPr>
                <w:rFonts w:ascii="Arial" w:hAnsi="Arial" w:cs="Arial"/>
                <w:color w:val="404142"/>
              </w:rPr>
              <w:t>920</w:t>
            </w:r>
          </w:p>
        </w:tc>
        <w:tc>
          <w:tcPr>
            <w:tcW w:w="1366" w:type="dxa"/>
            <w:shd w:val="clear" w:color="auto" w:fill="FFF2CC" w:themeFill="accent4" w:themeFillTint="33"/>
          </w:tcPr>
          <w:p w14:paraId="75CF4111" w14:textId="5F6E70C3"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30</w:t>
            </w:r>
          </w:p>
        </w:tc>
      </w:tr>
      <w:tr w:rsidR="0020475F" w:rsidRPr="002E0D67" w14:paraId="4F111BBD" w14:textId="77777777" w:rsidTr="00CD2408">
        <w:tc>
          <w:tcPr>
            <w:tcW w:w="2689" w:type="dxa"/>
          </w:tcPr>
          <w:p w14:paraId="3F884843" w14:textId="28530047" w:rsidR="0020475F" w:rsidRPr="002E0D67" w:rsidRDefault="0020475F" w:rsidP="00CD2408">
            <w:pPr>
              <w:spacing w:before="60" w:after="60"/>
              <w:rPr>
                <w:rFonts w:ascii="Arial" w:hAnsi="Arial" w:cs="Arial"/>
                <w:color w:val="404142"/>
              </w:rPr>
            </w:pPr>
            <w:r w:rsidRPr="002E0D67">
              <w:rPr>
                <w:rFonts w:ascii="Arial" w:hAnsi="Arial" w:cs="Arial"/>
                <w:color w:val="404142"/>
              </w:rPr>
              <w:t>Batlow</w:t>
            </w:r>
          </w:p>
        </w:tc>
        <w:tc>
          <w:tcPr>
            <w:tcW w:w="1701" w:type="dxa"/>
          </w:tcPr>
          <w:p w14:paraId="6A490DE6" w14:textId="56B144A0"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917.70</w:t>
            </w:r>
          </w:p>
        </w:tc>
        <w:tc>
          <w:tcPr>
            <w:tcW w:w="1559" w:type="dxa"/>
          </w:tcPr>
          <w:p w14:paraId="0FA72F69" w14:textId="690DAF6F"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12</w:t>
            </w:r>
          </w:p>
        </w:tc>
        <w:tc>
          <w:tcPr>
            <w:tcW w:w="1701" w:type="dxa"/>
            <w:shd w:val="clear" w:color="auto" w:fill="FFF2CC" w:themeFill="accent4" w:themeFillTint="33"/>
          </w:tcPr>
          <w:p w14:paraId="1BD2967B" w14:textId="01713DD1" w:rsidR="0020475F" w:rsidRPr="00863710" w:rsidRDefault="00EF1D0F" w:rsidP="001918B0">
            <w:pPr>
              <w:tabs>
                <w:tab w:val="decimal" w:pos="745"/>
              </w:tabs>
              <w:spacing w:before="60" w:after="60"/>
              <w:rPr>
                <w:rFonts w:ascii="Arial" w:hAnsi="Arial" w:cs="Arial"/>
                <w:color w:val="404142"/>
              </w:rPr>
            </w:pPr>
            <w:r w:rsidRPr="00863710">
              <w:rPr>
                <w:rFonts w:ascii="Arial" w:hAnsi="Arial" w:cs="Arial"/>
                <w:color w:val="404142"/>
              </w:rPr>
              <w:t>916</w:t>
            </w:r>
          </w:p>
        </w:tc>
        <w:tc>
          <w:tcPr>
            <w:tcW w:w="1366" w:type="dxa"/>
            <w:shd w:val="clear" w:color="auto" w:fill="FFF2CC" w:themeFill="accent4" w:themeFillTint="33"/>
          </w:tcPr>
          <w:p w14:paraId="78E39D29" w14:textId="694B69C7"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13</w:t>
            </w:r>
          </w:p>
        </w:tc>
      </w:tr>
      <w:tr w:rsidR="0020475F" w:rsidRPr="002E0D67" w14:paraId="6D28E28C" w14:textId="77777777" w:rsidTr="00CD2408">
        <w:tc>
          <w:tcPr>
            <w:tcW w:w="2689" w:type="dxa"/>
          </w:tcPr>
          <w:p w14:paraId="5E620696" w14:textId="0C9A674F" w:rsidR="0020475F" w:rsidRPr="002E0D67" w:rsidRDefault="0020475F" w:rsidP="00CD2408">
            <w:pPr>
              <w:spacing w:before="60" w:after="60"/>
              <w:rPr>
                <w:rFonts w:ascii="Arial" w:hAnsi="Arial" w:cs="Arial"/>
                <w:color w:val="404142"/>
              </w:rPr>
            </w:pPr>
            <w:r w:rsidRPr="002E0D67">
              <w:rPr>
                <w:rFonts w:ascii="Arial" w:hAnsi="Arial" w:cs="Arial"/>
                <w:color w:val="404142"/>
              </w:rPr>
              <w:t>Tumbarumba - Khancoban</w:t>
            </w:r>
          </w:p>
        </w:tc>
        <w:tc>
          <w:tcPr>
            <w:tcW w:w="1701" w:type="dxa"/>
          </w:tcPr>
          <w:p w14:paraId="71A39C07" w14:textId="4029F060"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960.90</w:t>
            </w:r>
          </w:p>
        </w:tc>
        <w:tc>
          <w:tcPr>
            <w:tcW w:w="1559" w:type="dxa"/>
          </w:tcPr>
          <w:p w14:paraId="2CA5BC32" w14:textId="5E1D93D9"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23</w:t>
            </w:r>
          </w:p>
        </w:tc>
        <w:tc>
          <w:tcPr>
            <w:tcW w:w="1701" w:type="dxa"/>
            <w:shd w:val="clear" w:color="auto" w:fill="FFF2CC" w:themeFill="accent4" w:themeFillTint="33"/>
          </w:tcPr>
          <w:p w14:paraId="6D31832F" w14:textId="705D3A2A" w:rsidR="0020475F" w:rsidRPr="00863710" w:rsidRDefault="00EF1D0F" w:rsidP="001918B0">
            <w:pPr>
              <w:tabs>
                <w:tab w:val="decimal" w:pos="745"/>
              </w:tabs>
              <w:spacing w:before="60" w:after="60"/>
              <w:rPr>
                <w:rFonts w:ascii="Arial" w:hAnsi="Arial" w:cs="Arial"/>
                <w:color w:val="404142"/>
              </w:rPr>
            </w:pPr>
            <w:r w:rsidRPr="00863710">
              <w:rPr>
                <w:rFonts w:ascii="Arial" w:hAnsi="Arial" w:cs="Arial"/>
                <w:color w:val="404142"/>
              </w:rPr>
              <w:t>962</w:t>
            </w:r>
          </w:p>
        </w:tc>
        <w:tc>
          <w:tcPr>
            <w:tcW w:w="1366" w:type="dxa"/>
            <w:shd w:val="clear" w:color="auto" w:fill="FFF2CC" w:themeFill="accent4" w:themeFillTint="33"/>
          </w:tcPr>
          <w:p w14:paraId="1F8284AF" w14:textId="03F95BCC"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22</w:t>
            </w:r>
          </w:p>
        </w:tc>
      </w:tr>
      <w:tr w:rsidR="0020475F" w:rsidRPr="002E0D67" w14:paraId="00752B84" w14:textId="77777777" w:rsidTr="00CD2408">
        <w:tc>
          <w:tcPr>
            <w:tcW w:w="2689" w:type="dxa"/>
          </w:tcPr>
          <w:p w14:paraId="5487FECF" w14:textId="2DC4C7D5" w:rsidR="0020475F" w:rsidRPr="002E0D67" w:rsidRDefault="0020475F" w:rsidP="00CD2408">
            <w:pPr>
              <w:spacing w:before="60" w:after="60"/>
              <w:rPr>
                <w:rFonts w:ascii="Arial" w:hAnsi="Arial" w:cs="Arial"/>
                <w:color w:val="404142"/>
              </w:rPr>
            </w:pPr>
            <w:r w:rsidRPr="002E0D67">
              <w:rPr>
                <w:rFonts w:ascii="Arial" w:hAnsi="Arial" w:cs="Arial"/>
                <w:color w:val="404142"/>
              </w:rPr>
              <w:t>Tumut - Talbingo</w:t>
            </w:r>
          </w:p>
        </w:tc>
        <w:tc>
          <w:tcPr>
            <w:tcW w:w="1701" w:type="dxa"/>
          </w:tcPr>
          <w:p w14:paraId="00471F0C" w14:textId="61D6602F"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1022.20</w:t>
            </w:r>
          </w:p>
        </w:tc>
        <w:tc>
          <w:tcPr>
            <w:tcW w:w="1559" w:type="dxa"/>
          </w:tcPr>
          <w:p w14:paraId="437ECCA7" w14:textId="08DCBFFA"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55</w:t>
            </w:r>
          </w:p>
        </w:tc>
        <w:tc>
          <w:tcPr>
            <w:tcW w:w="1701" w:type="dxa"/>
            <w:shd w:val="clear" w:color="auto" w:fill="FFF2CC" w:themeFill="accent4" w:themeFillTint="33"/>
          </w:tcPr>
          <w:p w14:paraId="727DEC79" w14:textId="438D42C9" w:rsidR="0020475F" w:rsidRPr="00863710" w:rsidRDefault="00EF1D0F" w:rsidP="001918B0">
            <w:pPr>
              <w:tabs>
                <w:tab w:val="decimal" w:pos="745"/>
              </w:tabs>
              <w:spacing w:before="60" w:after="60"/>
              <w:rPr>
                <w:rFonts w:ascii="Arial" w:hAnsi="Arial" w:cs="Arial"/>
                <w:color w:val="404142"/>
              </w:rPr>
            </w:pPr>
            <w:r w:rsidRPr="00863710">
              <w:rPr>
                <w:rFonts w:ascii="Arial" w:hAnsi="Arial" w:cs="Arial"/>
                <w:color w:val="404142"/>
              </w:rPr>
              <w:t>902</w:t>
            </w:r>
          </w:p>
        </w:tc>
        <w:tc>
          <w:tcPr>
            <w:tcW w:w="1366" w:type="dxa"/>
            <w:shd w:val="clear" w:color="auto" w:fill="FFF2CC" w:themeFill="accent4" w:themeFillTint="33"/>
          </w:tcPr>
          <w:p w14:paraId="63E5C2F5" w14:textId="3BC3C7B7" w:rsidR="0020475F" w:rsidRPr="002E0D67" w:rsidRDefault="0020475F" w:rsidP="001918B0">
            <w:pPr>
              <w:spacing w:before="60" w:after="60"/>
              <w:jc w:val="center"/>
              <w:rPr>
                <w:rFonts w:ascii="Arial" w:hAnsi="Arial" w:cs="Arial"/>
                <w:b/>
                <w:bCs/>
                <w:color w:val="404142"/>
              </w:rPr>
            </w:pPr>
            <w:r w:rsidRPr="002E0D67">
              <w:rPr>
                <w:rFonts w:ascii="Arial" w:hAnsi="Arial" w:cs="Arial"/>
                <w:color w:val="404142"/>
              </w:rPr>
              <w:t>54</w:t>
            </w:r>
            <w:r w:rsidR="00EC75D9" w:rsidRPr="002E0D67">
              <w:rPr>
                <w:rFonts w:ascii="Arial" w:hAnsi="Arial" w:cs="Arial"/>
                <w:color w:val="404142"/>
              </w:rPr>
              <w:t xml:space="preserve"> </w:t>
            </w:r>
            <w:r w:rsidR="00EC75D9" w:rsidRPr="002E0D67">
              <w:rPr>
                <w:rFonts w:ascii="Arial" w:hAnsi="Arial" w:cs="Arial"/>
                <w:b/>
                <w:bCs/>
                <w:color w:val="404142"/>
              </w:rPr>
              <w:t xml:space="preserve"> </w:t>
            </w:r>
          </w:p>
        </w:tc>
      </w:tr>
      <w:tr w:rsidR="0020475F" w:rsidRPr="002E0D67" w14:paraId="34C47C9B" w14:textId="77777777" w:rsidTr="00CD2408">
        <w:tc>
          <w:tcPr>
            <w:tcW w:w="2689" w:type="dxa"/>
          </w:tcPr>
          <w:p w14:paraId="2A1319C2" w14:textId="25514220" w:rsidR="0020475F" w:rsidRPr="002E0D67" w:rsidRDefault="0020475F" w:rsidP="00CD2408">
            <w:pPr>
              <w:spacing w:before="60" w:after="60"/>
              <w:rPr>
                <w:rFonts w:ascii="Arial" w:hAnsi="Arial" w:cs="Arial"/>
                <w:color w:val="404142"/>
              </w:rPr>
            </w:pPr>
            <w:r w:rsidRPr="002E0D67">
              <w:rPr>
                <w:rFonts w:ascii="Arial" w:hAnsi="Arial" w:cs="Arial"/>
                <w:color w:val="404142"/>
              </w:rPr>
              <w:t>Tumut</w:t>
            </w:r>
          </w:p>
        </w:tc>
        <w:tc>
          <w:tcPr>
            <w:tcW w:w="1701" w:type="dxa"/>
          </w:tcPr>
          <w:p w14:paraId="39CFE0CC" w14:textId="76935109" w:rsidR="0020475F" w:rsidRPr="002E0D67" w:rsidRDefault="0020475F" w:rsidP="001918B0">
            <w:pPr>
              <w:tabs>
                <w:tab w:val="decimal" w:pos="740"/>
              </w:tabs>
              <w:spacing w:before="60" w:after="60"/>
              <w:rPr>
                <w:rFonts w:ascii="Arial" w:hAnsi="Arial" w:cs="Arial"/>
                <w:color w:val="404142"/>
              </w:rPr>
            </w:pPr>
            <w:r w:rsidRPr="002E0D67">
              <w:rPr>
                <w:rFonts w:ascii="Arial" w:hAnsi="Arial" w:cs="Arial"/>
                <w:color w:val="404142"/>
              </w:rPr>
              <w:t>930.70</w:t>
            </w:r>
          </w:p>
        </w:tc>
        <w:tc>
          <w:tcPr>
            <w:tcW w:w="1559" w:type="dxa"/>
          </w:tcPr>
          <w:p w14:paraId="76EFD5B9" w14:textId="763FE2DE" w:rsidR="0020475F" w:rsidRPr="002E0D67" w:rsidRDefault="0020475F" w:rsidP="001918B0">
            <w:pPr>
              <w:spacing w:before="60" w:after="60"/>
              <w:jc w:val="center"/>
              <w:rPr>
                <w:rFonts w:ascii="Arial" w:hAnsi="Arial" w:cs="Arial"/>
                <w:color w:val="404142"/>
              </w:rPr>
            </w:pPr>
            <w:r w:rsidRPr="002E0D67">
              <w:rPr>
                <w:rFonts w:ascii="Arial" w:hAnsi="Arial" w:cs="Arial"/>
                <w:color w:val="404142"/>
              </w:rPr>
              <w:t>15</w:t>
            </w:r>
          </w:p>
        </w:tc>
        <w:tc>
          <w:tcPr>
            <w:tcW w:w="1701" w:type="dxa"/>
            <w:shd w:val="clear" w:color="auto" w:fill="FFF2CC" w:themeFill="accent4" w:themeFillTint="33"/>
          </w:tcPr>
          <w:p w14:paraId="69E71A08" w14:textId="1D480332" w:rsidR="0020475F" w:rsidRPr="00863710" w:rsidRDefault="00224C1B" w:rsidP="001918B0">
            <w:pPr>
              <w:tabs>
                <w:tab w:val="decimal" w:pos="745"/>
              </w:tabs>
              <w:spacing w:before="60" w:after="60"/>
              <w:rPr>
                <w:rFonts w:ascii="Arial" w:hAnsi="Arial" w:cs="Arial"/>
                <w:color w:val="404142"/>
              </w:rPr>
            </w:pPr>
            <w:r w:rsidRPr="00863710">
              <w:rPr>
                <w:rFonts w:ascii="Arial" w:hAnsi="Arial" w:cs="Arial"/>
                <w:color w:val="404142"/>
              </w:rPr>
              <w:t>884</w:t>
            </w:r>
          </w:p>
        </w:tc>
        <w:tc>
          <w:tcPr>
            <w:tcW w:w="1366" w:type="dxa"/>
            <w:shd w:val="clear" w:color="auto" w:fill="FFF2CC" w:themeFill="accent4" w:themeFillTint="33"/>
          </w:tcPr>
          <w:p w14:paraId="61DEA09C" w14:textId="1EE71B70" w:rsidR="0020475F" w:rsidRPr="002E0D67" w:rsidRDefault="0020475F" w:rsidP="001918B0">
            <w:pPr>
              <w:spacing w:before="60" w:after="60"/>
              <w:jc w:val="center"/>
              <w:rPr>
                <w:rFonts w:ascii="Arial" w:hAnsi="Arial" w:cs="Arial"/>
                <w:b/>
                <w:bCs/>
                <w:color w:val="404142"/>
              </w:rPr>
            </w:pPr>
            <w:r w:rsidRPr="002E0D67">
              <w:rPr>
                <w:rFonts w:ascii="Arial" w:hAnsi="Arial" w:cs="Arial"/>
                <w:color w:val="404142"/>
              </w:rPr>
              <w:t>15</w:t>
            </w:r>
            <w:r w:rsidR="003C1F5E" w:rsidRPr="002E0D67">
              <w:rPr>
                <w:rFonts w:ascii="Arial" w:hAnsi="Arial" w:cs="Arial"/>
                <w:color w:val="404142"/>
              </w:rPr>
              <w:t xml:space="preserve"> </w:t>
            </w:r>
          </w:p>
        </w:tc>
      </w:tr>
    </w:tbl>
    <w:p w14:paraId="2D99F18A" w14:textId="4FAEEF9A" w:rsidR="00B60612" w:rsidRPr="002E0D67" w:rsidRDefault="00B60612" w:rsidP="00B60612">
      <w:pPr>
        <w:rPr>
          <w:rFonts w:ascii="Arial" w:hAnsi="Arial" w:cs="Arial"/>
        </w:rPr>
      </w:pPr>
      <w:r w:rsidRPr="002E0D67">
        <w:rPr>
          <w:rFonts w:ascii="Arial" w:hAnsi="Arial" w:cs="Arial"/>
          <w:i/>
          <w:iCs/>
        </w:rPr>
        <w:t>Source:  Australian Bureau of Statistics, Census of Population and Housing 2021</w:t>
      </w:r>
    </w:p>
    <w:p w14:paraId="7C11E325" w14:textId="16F4A799" w:rsidR="00224C1B" w:rsidRDefault="007258DE">
      <w:pPr>
        <w:rPr>
          <w:rFonts w:ascii="Arial" w:hAnsi="Arial" w:cs="Arial"/>
        </w:rPr>
      </w:pPr>
      <w:r w:rsidRPr="001F4A89">
        <w:rPr>
          <w:rFonts w:ascii="Arial" w:hAnsi="Arial" w:cs="Arial"/>
        </w:rPr>
        <w:t>In reviewing the SEIFA rankings</w:t>
      </w:r>
      <w:r w:rsidR="0066779B" w:rsidRPr="001F4A89">
        <w:rPr>
          <w:rFonts w:ascii="Arial" w:hAnsi="Arial" w:cs="Arial"/>
        </w:rPr>
        <w:t>,</w:t>
      </w:r>
      <w:r w:rsidRPr="001F4A89">
        <w:rPr>
          <w:rFonts w:ascii="Arial" w:hAnsi="Arial" w:cs="Arial"/>
        </w:rPr>
        <w:t xml:space="preserve"> </w:t>
      </w:r>
      <w:proofErr w:type="gramStart"/>
      <w:r w:rsidRPr="001F4A89">
        <w:rPr>
          <w:rFonts w:ascii="Arial" w:hAnsi="Arial" w:cs="Arial"/>
        </w:rPr>
        <w:t>it is clear that there</w:t>
      </w:r>
      <w:proofErr w:type="gramEnd"/>
      <w:r w:rsidRPr="001F4A89">
        <w:rPr>
          <w:rFonts w:ascii="Arial" w:hAnsi="Arial" w:cs="Arial"/>
        </w:rPr>
        <w:t xml:space="preserve"> is a broad distribution of advantage and disadvantage throughout the LGA highlighting significant levels of inequality.</w:t>
      </w:r>
    </w:p>
    <w:p w14:paraId="4E011B28" w14:textId="77777777" w:rsidR="004E55F6" w:rsidRDefault="004E55F6">
      <w:pPr>
        <w:rPr>
          <w:rFonts w:ascii="Arial" w:hAnsi="Arial" w:cs="Arial"/>
        </w:rPr>
      </w:pPr>
    </w:p>
    <w:p w14:paraId="103E8440" w14:textId="34E75435" w:rsidR="00983FFD" w:rsidRPr="004E55F6" w:rsidRDefault="004E55F6" w:rsidP="004E55F6">
      <w:pPr>
        <w:pStyle w:val="Heading1"/>
        <w:rPr>
          <w:rFonts w:ascii="Arial" w:hAnsi="Arial" w:cs="Arial"/>
          <w:b/>
          <w:bCs/>
          <w:sz w:val="22"/>
          <w:szCs w:val="22"/>
        </w:rPr>
      </w:pPr>
      <w:bookmarkStart w:id="28" w:name="_Toc156305610"/>
      <w:r w:rsidRPr="004E55F6">
        <w:rPr>
          <w:rFonts w:ascii="Arial" w:hAnsi="Arial" w:cs="Arial"/>
          <w:b/>
          <w:bCs/>
          <w:sz w:val="22"/>
          <w:szCs w:val="22"/>
        </w:rPr>
        <w:t>Hardship Applications and Outstanding Rates</w:t>
      </w:r>
      <w:bookmarkEnd w:id="28"/>
    </w:p>
    <w:p w14:paraId="4AE09349" w14:textId="0AB0ECC5" w:rsidR="008A7D47" w:rsidRPr="001F4A89" w:rsidRDefault="008A7D47" w:rsidP="00983FFD">
      <w:pPr>
        <w:jc w:val="both"/>
        <w:rPr>
          <w:rFonts w:ascii="Arial" w:hAnsi="Arial" w:cs="Arial"/>
        </w:rPr>
      </w:pPr>
      <w:r w:rsidRPr="001F4A89">
        <w:rPr>
          <w:rFonts w:ascii="Arial" w:hAnsi="Arial" w:cs="Arial"/>
        </w:rPr>
        <w:t>The data used within this report is from 2021, which may not reflect the current infla</w:t>
      </w:r>
      <w:r w:rsidR="008756F0" w:rsidRPr="001F4A89">
        <w:rPr>
          <w:rFonts w:ascii="Arial" w:hAnsi="Arial" w:cs="Arial"/>
        </w:rPr>
        <w:t>tionary</w:t>
      </w:r>
      <w:r w:rsidR="00A8144B" w:rsidRPr="001F4A89">
        <w:rPr>
          <w:rFonts w:ascii="Arial" w:hAnsi="Arial" w:cs="Arial"/>
        </w:rPr>
        <w:t xml:space="preserve"> and cost of living</w:t>
      </w:r>
      <w:r w:rsidRPr="001F4A89">
        <w:rPr>
          <w:rFonts w:ascii="Arial" w:hAnsi="Arial" w:cs="Arial"/>
        </w:rPr>
        <w:t xml:space="preserve"> environment. </w:t>
      </w:r>
      <w:proofErr w:type="gramStart"/>
      <w:r w:rsidRPr="001F4A89">
        <w:rPr>
          <w:rFonts w:ascii="Arial" w:hAnsi="Arial" w:cs="Arial"/>
        </w:rPr>
        <w:t>In order to</w:t>
      </w:r>
      <w:proofErr w:type="gramEnd"/>
      <w:r w:rsidRPr="001F4A89">
        <w:rPr>
          <w:rFonts w:ascii="Arial" w:hAnsi="Arial" w:cs="Arial"/>
        </w:rPr>
        <w:t xml:space="preserve"> understand any current impacts, hardship applications and outstanding Council rates</w:t>
      </w:r>
      <w:r w:rsidR="00F843F0" w:rsidRPr="001F4A89">
        <w:rPr>
          <w:rFonts w:ascii="Arial" w:hAnsi="Arial" w:cs="Arial"/>
        </w:rPr>
        <w:t xml:space="preserve"> payments</w:t>
      </w:r>
      <w:r w:rsidR="00AF2CAF" w:rsidRPr="001F4A89">
        <w:rPr>
          <w:rFonts w:ascii="Arial" w:hAnsi="Arial" w:cs="Arial"/>
        </w:rPr>
        <w:t xml:space="preserve"> were examined to determine </w:t>
      </w:r>
      <w:r w:rsidR="00F843F0" w:rsidRPr="001F4A89">
        <w:rPr>
          <w:rFonts w:ascii="Arial" w:hAnsi="Arial" w:cs="Arial"/>
        </w:rPr>
        <w:t>residence ability and capacity to pay their rates on time</w:t>
      </w:r>
      <w:r w:rsidR="000341FC" w:rsidRPr="001F4A89">
        <w:rPr>
          <w:rFonts w:ascii="Arial" w:hAnsi="Arial" w:cs="Arial"/>
        </w:rPr>
        <w:t>.</w:t>
      </w:r>
    </w:p>
    <w:p w14:paraId="0F202FF8" w14:textId="08384BB7" w:rsidR="002E0020" w:rsidRPr="001F4A89" w:rsidRDefault="002E0020" w:rsidP="00983FFD">
      <w:pPr>
        <w:jc w:val="both"/>
        <w:rPr>
          <w:rFonts w:ascii="Arial" w:hAnsi="Arial" w:cs="Arial"/>
        </w:rPr>
      </w:pPr>
      <w:r w:rsidRPr="001F4A89">
        <w:rPr>
          <w:rFonts w:ascii="Arial" w:hAnsi="Arial" w:cs="Arial"/>
        </w:rPr>
        <w:t>Council's hardship policy aims to provide relief to ratepayers who are experiencing genuine financial difficulties in paying their rates and charges. In 2022/</w:t>
      </w:r>
      <w:r w:rsidR="0066779B" w:rsidRPr="001F4A89">
        <w:rPr>
          <w:rFonts w:ascii="Arial" w:hAnsi="Arial" w:cs="Arial"/>
        </w:rPr>
        <w:t>20</w:t>
      </w:r>
      <w:r w:rsidRPr="001F4A89">
        <w:rPr>
          <w:rFonts w:ascii="Arial" w:hAnsi="Arial" w:cs="Arial"/>
        </w:rPr>
        <w:t>23, Council had 1</w:t>
      </w:r>
      <w:r w:rsidR="00335673" w:rsidRPr="001F4A89">
        <w:rPr>
          <w:rFonts w:ascii="Arial" w:hAnsi="Arial" w:cs="Arial"/>
        </w:rPr>
        <w:t>13</w:t>
      </w:r>
      <w:r w:rsidRPr="001F4A89">
        <w:rPr>
          <w:rFonts w:ascii="Arial" w:hAnsi="Arial" w:cs="Arial"/>
        </w:rPr>
        <w:t xml:space="preserve"> active payment schedules in place. For 2023/</w:t>
      </w:r>
      <w:r w:rsidR="0066779B" w:rsidRPr="001F4A89">
        <w:rPr>
          <w:rFonts w:ascii="Arial" w:hAnsi="Arial" w:cs="Arial"/>
        </w:rPr>
        <w:t>20</w:t>
      </w:r>
      <w:r w:rsidRPr="001F4A89">
        <w:rPr>
          <w:rFonts w:ascii="Arial" w:hAnsi="Arial" w:cs="Arial"/>
        </w:rPr>
        <w:t>24</w:t>
      </w:r>
      <w:r w:rsidR="0066779B" w:rsidRPr="001F4A89">
        <w:rPr>
          <w:rFonts w:ascii="Arial" w:hAnsi="Arial" w:cs="Arial"/>
        </w:rPr>
        <w:t>,</w:t>
      </w:r>
      <w:r w:rsidRPr="001F4A89">
        <w:rPr>
          <w:rFonts w:ascii="Arial" w:hAnsi="Arial" w:cs="Arial"/>
        </w:rPr>
        <w:t xml:space="preserve"> Council has 230 active payment schedules, an increase of </w:t>
      </w:r>
      <w:r w:rsidR="003B51B7" w:rsidRPr="001F4A89">
        <w:rPr>
          <w:rFonts w:ascii="Arial" w:hAnsi="Arial" w:cs="Arial"/>
        </w:rPr>
        <w:t>68</w:t>
      </w:r>
      <w:r w:rsidRPr="001F4A89">
        <w:rPr>
          <w:rFonts w:ascii="Arial" w:hAnsi="Arial" w:cs="Arial"/>
        </w:rPr>
        <w:t>%.</w:t>
      </w:r>
    </w:p>
    <w:p w14:paraId="079E36E2" w14:textId="69BB5B24" w:rsidR="002E0020" w:rsidRPr="001F4A89" w:rsidRDefault="009D525A" w:rsidP="00983FFD">
      <w:pPr>
        <w:jc w:val="both"/>
        <w:rPr>
          <w:rFonts w:ascii="Arial" w:hAnsi="Arial" w:cs="Arial"/>
        </w:rPr>
      </w:pPr>
      <w:r w:rsidRPr="001F4A89">
        <w:rPr>
          <w:rFonts w:ascii="Arial" w:hAnsi="Arial" w:cs="Arial"/>
        </w:rPr>
        <w:t>For those ratepayer</w:t>
      </w:r>
      <w:r w:rsidR="006914D9" w:rsidRPr="001F4A89">
        <w:rPr>
          <w:rFonts w:ascii="Arial" w:hAnsi="Arial" w:cs="Arial"/>
        </w:rPr>
        <w:t>s</w:t>
      </w:r>
      <w:r w:rsidRPr="001F4A89">
        <w:rPr>
          <w:rFonts w:ascii="Arial" w:hAnsi="Arial" w:cs="Arial"/>
        </w:rPr>
        <w:t xml:space="preserve"> who do not have payment arrangements</w:t>
      </w:r>
      <w:r w:rsidR="006914D9" w:rsidRPr="001F4A89">
        <w:rPr>
          <w:rFonts w:ascii="Arial" w:hAnsi="Arial" w:cs="Arial"/>
        </w:rPr>
        <w:t xml:space="preserve"> in place and Council has received no communication regarding outstanding rate payments</w:t>
      </w:r>
      <w:r w:rsidR="00C63224" w:rsidRPr="001F4A89">
        <w:rPr>
          <w:rFonts w:ascii="Arial" w:hAnsi="Arial" w:cs="Arial"/>
        </w:rPr>
        <w:t>, they are</w:t>
      </w:r>
      <w:r w:rsidR="006914D9" w:rsidRPr="001F4A89">
        <w:rPr>
          <w:rFonts w:ascii="Arial" w:hAnsi="Arial" w:cs="Arial"/>
        </w:rPr>
        <w:t xml:space="preserve"> sent to Council</w:t>
      </w:r>
      <w:r w:rsidR="00C63224" w:rsidRPr="001F4A89">
        <w:rPr>
          <w:rFonts w:ascii="Arial" w:hAnsi="Arial" w:cs="Arial"/>
        </w:rPr>
        <w:t>’s</w:t>
      </w:r>
      <w:r w:rsidR="006914D9" w:rsidRPr="001F4A89">
        <w:rPr>
          <w:rFonts w:ascii="Arial" w:hAnsi="Arial" w:cs="Arial"/>
        </w:rPr>
        <w:t xml:space="preserve"> debt collection agency.</w:t>
      </w:r>
    </w:p>
    <w:p w14:paraId="361C05F2" w14:textId="025A9723" w:rsidR="006914D9" w:rsidRDefault="006914D9" w:rsidP="00983FFD">
      <w:pPr>
        <w:jc w:val="both"/>
        <w:rPr>
          <w:rFonts w:ascii="Arial" w:hAnsi="Arial" w:cs="Arial"/>
        </w:rPr>
      </w:pPr>
      <w:r w:rsidRPr="001F4A89">
        <w:rPr>
          <w:rFonts w:ascii="Arial" w:hAnsi="Arial" w:cs="Arial"/>
        </w:rPr>
        <w:t>The table</w:t>
      </w:r>
      <w:r w:rsidR="00C63224" w:rsidRPr="001F4A89">
        <w:rPr>
          <w:rFonts w:ascii="Arial" w:hAnsi="Arial" w:cs="Arial"/>
        </w:rPr>
        <w:t xml:space="preserve"> below</w:t>
      </w:r>
      <w:r w:rsidRPr="001F4A89">
        <w:rPr>
          <w:rFonts w:ascii="Arial" w:hAnsi="Arial" w:cs="Arial"/>
        </w:rPr>
        <w:t xml:space="preserve"> </w:t>
      </w:r>
      <w:r w:rsidR="00C63224" w:rsidRPr="001F4A89">
        <w:rPr>
          <w:rFonts w:ascii="Arial" w:hAnsi="Arial" w:cs="Arial"/>
        </w:rPr>
        <w:t>summarises by township the number of properties Council’s debt collection agency have engaged and how many cases have been closed.</w:t>
      </w:r>
    </w:p>
    <w:p w14:paraId="2805E762" w14:textId="77777777" w:rsidR="007B2BED" w:rsidRPr="002E0D67" w:rsidRDefault="007B2BED" w:rsidP="007B2BED">
      <w:pPr>
        <w:shd w:val="clear" w:color="auto" w:fill="FFFFFF" w:themeFill="background1"/>
        <w:jc w:val="both"/>
        <w:rPr>
          <w:rFonts w:ascii="Arial" w:hAnsi="Arial" w:cs="Arial"/>
          <w:color w:val="404142"/>
        </w:rPr>
      </w:pPr>
    </w:p>
    <w:tbl>
      <w:tblPr>
        <w:tblW w:w="7655" w:type="dxa"/>
        <w:jc w:val="center"/>
        <w:tblCellMar>
          <w:left w:w="0" w:type="dxa"/>
          <w:right w:w="0" w:type="dxa"/>
        </w:tblCellMar>
        <w:tblLook w:val="04A0" w:firstRow="1" w:lastRow="0" w:firstColumn="1" w:lastColumn="0" w:noHBand="0" w:noVBand="1"/>
      </w:tblPr>
      <w:tblGrid>
        <w:gridCol w:w="1517"/>
        <w:gridCol w:w="1428"/>
        <w:gridCol w:w="1549"/>
        <w:gridCol w:w="274"/>
        <w:gridCol w:w="1469"/>
        <w:gridCol w:w="1418"/>
      </w:tblGrid>
      <w:tr w:rsidR="007B2BED" w:rsidRPr="007B2BED" w14:paraId="24497F31" w14:textId="77777777" w:rsidTr="00652907">
        <w:trPr>
          <w:trHeight w:val="300"/>
          <w:jc w:val="center"/>
        </w:trPr>
        <w:tc>
          <w:tcPr>
            <w:tcW w:w="4494" w:type="dxa"/>
            <w:gridSpan w:val="3"/>
            <w:tcBorders>
              <w:top w:val="single" w:sz="4" w:space="0" w:color="auto"/>
              <w:left w:val="single" w:sz="4" w:space="0" w:color="auto"/>
              <w:bottom w:val="single" w:sz="4" w:space="0" w:color="auto"/>
            </w:tcBorders>
            <w:shd w:val="clear" w:color="auto" w:fill="ED7D31" w:themeFill="accent2"/>
            <w:noWrap/>
            <w:tcMar>
              <w:top w:w="0" w:type="dxa"/>
              <w:left w:w="108" w:type="dxa"/>
              <w:bottom w:w="0" w:type="dxa"/>
              <w:right w:w="108" w:type="dxa"/>
            </w:tcMar>
            <w:vAlign w:val="bottom"/>
            <w:hideMark/>
          </w:tcPr>
          <w:p w14:paraId="058A58DF" w14:textId="77777777" w:rsidR="007B2BED" w:rsidRPr="007B2BED" w:rsidRDefault="007B2BED" w:rsidP="00BB174C">
            <w:pPr>
              <w:jc w:val="center"/>
              <w:rPr>
                <w:rFonts w:ascii="Arial" w:eastAsia="Times New Roman" w:hAnsi="Arial" w:cs="Arial"/>
                <w:color w:val="FFFFFF" w:themeColor="background1"/>
                <w:sz w:val="20"/>
                <w:szCs w:val="20"/>
              </w:rPr>
            </w:pPr>
            <w:r w:rsidRPr="007B2BED">
              <w:rPr>
                <w:rFonts w:ascii="Arial" w:hAnsi="Arial" w:cs="Arial"/>
                <w:b/>
                <w:bCs/>
                <w:color w:val="FFFFFF" w:themeColor="background1"/>
              </w:rPr>
              <w:t>2021/2022</w:t>
            </w:r>
          </w:p>
        </w:tc>
        <w:tc>
          <w:tcPr>
            <w:tcW w:w="274" w:type="dxa"/>
            <w:tcBorders>
              <w:top w:val="single" w:sz="4" w:space="0" w:color="auto"/>
              <w:bottom w:val="single" w:sz="4" w:space="0" w:color="auto"/>
            </w:tcBorders>
            <w:shd w:val="clear" w:color="auto" w:fill="ED7D31" w:themeFill="accent2"/>
          </w:tcPr>
          <w:p w14:paraId="27801451" w14:textId="77777777" w:rsidR="007B2BED" w:rsidRPr="007B2BED" w:rsidRDefault="007B2BED" w:rsidP="00BB174C">
            <w:pPr>
              <w:jc w:val="center"/>
              <w:rPr>
                <w:rFonts w:ascii="Arial" w:hAnsi="Arial" w:cs="Arial"/>
                <w:b/>
                <w:bCs/>
                <w:color w:val="FFFFFF" w:themeColor="background1"/>
              </w:rPr>
            </w:pPr>
            <w:r w:rsidRPr="007B2BED">
              <w:rPr>
                <w:rFonts w:ascii="Arial" w:hAnsi="Arial" w:cs="Arial"/>
                <w:b/>
                <w:bCs/>
                <w:color w:val="FFFFFF" w:themeColor="background1"/>
              </w:rPr>
              <w:t xml:space="preserve"> </w:t>
            </w:r>
          </w:p>
        </w:tc>
        <w:tc>
          <w:tcPr>
            <w:tcW w:w="2887" w:type="dxa"/>
            <w:gridSpan w:val="2"/>
            <w:tcBorders>
              <w:top w:val="single" w:sz="4" w:space="0" w:color="auto"/>
              <w:left w:val="nil"/>
              <w:bottom w:val="single" w:sz="4" w:space="0" w:color="auto"/>
              <w:right w:val="single" w:sz="4" w:space="0" w:color="auto"/>
            </w:tcBorders>
            <w:shd w:val="clear" w:color="auto" w:fill="ED7D31" w:themeFill="accent2"/>
          </w:tcPr>
          <w:p w14:paraId="77982ED4" w14:textId="77777777" w:rsidR="007B2BED" w:rsidRPr="007B2BED" w:rsidRDefault="007B2BED" w:rsidP="00BB174C">
            <w:pPr>
              <w:jc w:val="center"/>
              <w:rPr>
                <w:rFonts w:ascii="Arial" w:hAnsi="Arial" w:cs="Arial"/>
                <w:b/>
                <w:bCs/>
                <w:color w:val="FFFFFF" w:themeColor="background1"/>
              </w:rPr>
            </w:pPr>
            <w:r w:rsidRPr="007B2BED">
              <w:rPr>
                <w:rFonts w:ascii="Arial" w:hAnsi="Arial" w:cs="Arial"/>
                <w:b/>
                <w:bCs/>
                <w:color w:val="FFFFFF" w:themeColor="background1"/>
              </w:rPr>
              <w:t>2022/2023</w:t>
            </w:r>
          </w:p>
        </w:tc>
      </w:tr>
      <w:tr w:rsidR="00652907" w14:paraId="2288AE21" w14:textId="77777777" w:rsidTr="00652907">
        <w:trPr>
          <w:trHeight w:val="600"/>
          <w:jc w:val="center"/>
        </w:trPr>
        <w:tc>
          <w:tcPr>
            <w:tcW w:w="1517" w:type="dxa"/>
            <w:tcBorders>
              <w:top w:val="single" w:sz="4"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32A13E2A" w14:textId="77777777" w:rsidR="007B2BED" w:rsidRPr="007B2BED" w:rsidRDefault="007B2BED" w:rsidP="00BB174C">
            <w:pPr>
              <w:rPr>
                <w:rFonts w:ascii="Arial" w:hAnsi="Arial" w:cs="Arial"/>
                <w:b/>
                <w:bCs/>
                <w:color w:val="FFFFFF" w:themeColor="background1"/>
              </w:rPr>
            </w:pPr>
            <w:r w:rsidRPr="007B2BED">
              <w:rPr>
                <w:rFonts w:ascii="Arial" w:hAnsi="Arial" w:cs="Arial"/>
                <w:b/>
                <w:bCs/>
                <w:color w:val="FFFFFF" w:themeColor="background1"/>
              </w:rPr>
              <w:t>Town</w:t>
            </w:r>
          </w:p>
        </w:tc>
        <w:tc>
          <w:tcPr>
            <w:tcW w:w="1428" w:type="dxa"/>
            <w:tcBorders>
              <w:top w:val="single" w:sz="4" w:space="0" w:color="auto"/>
              <w:left w:val="nil"/>
              <w:bottom w:val="single" w:sz="8" w:space="0" w:color="auto"/>
              <w:right w:val="single" w:sz="8" w:space="0" w:color="auto"/>
            </w:tcBorders>
            <w:shd w:val="clear" w:color="auto" w:fill="002060"/>
            <w:tcMar>
              <w:top w:w="0" w:type="dxa"/>
              <w:left w:w="108" w:type="dxa"/>
              <w:bottom w:w="0" w:type="dxa"/>
              <w:right w:w="108" w:type="dxa"/>
            </w:tcMar>
            <w:vAlign w:val="bottom"/>
            <w:hideMark/>
          </w:tcPr>
          <w:p w14:paraId="6EDA900C" w14:textId="77777777" w:rsidR="007B2BED" w:rsidRPr="007B2BED" w:rsidRDefault="007B2BED" w:rsidP="00BB174C">
            <w:pPr>
              <w:rPr>
                <w:rFonts w:ascii="Arial" w:hAnsi="Arial" w:cs="Arial"/>
                <w:b/>
                <w:bCs/>
                <w:color w:val="FFFFFF" w:themeColor="background1"/>
              </w:rPr>
            </w:pPr>
            <w:r w:rsidRPr="007B2BED">
              <w:rPr>
                <w:rFonts w:ascii="Arial" w:hAnsi="Arial" w:cs="Arial"/>
                <w:b/>
                <w:bCs/>
                <w:color w:val="FFFFFF" w:themeColor="background1"/>
              </w:rPr>
              <w:t>Engaged Agency</w:t>
            </w:r>
          </w:p>
        </w:tc>
        <w:tc>
          <w:tcPr>
            <w:tcW w:w="1549" w:type="dxa"/>
            <w:tcBorders>
              <w:top w:val="single" w:sz="4" w:space="0" w:color="auto"/>
              <w:left w:val="nil"/>
              <w:bottom w:val="single" w:sz="8" w:space="0" w:color="auto"/>
              <w:right w:val="single" w:sz="8" w:space="0" w:color="auto"/>
            </w:tcBorders>
            <w:shd w:val="clear" w:color="auto" w:fill="002060"/>
            <w:tcMar>
              <w:top w:w="0" w:type="dxa"/>
              <w:left w:w="108" w:type="dxa"/>
              <w:bottom w:w="0" w:type="dxa"/>
              <w:right w:w="108" w:type="dxa"/>
            </w:tcMar>
            <w:vAlign w:val="bottom"/>
            <w:hideMark/>
          </w:tcPr>
          <w:p w14:paraId="51D4FE71" w14:textId="77777777" w:rsidR="007B2BED" w:rsidRPr="007B2BED" w:rsidRDefault="007B2BED" w:rsidP="00BB174C">
            <w:pPr>
              <w:rPr>
                <w:rFonts w:ascii="Arial" w:hAnsi="Arial" w:cs="Arial"/>
                <w:b/>
                <w:bCs/>
                <w:color w:val="FFFFFF" w:themeColor="background1"/>
              </w:rPr>
            </w:pPr>
            <w:r w:rsidRPr="007B2BED">
              <w:rPr>
                <w:rFonts w:ascii="Arial" w:hAnsi="Arial" w:cs="Arial"/>
                <w:b/>
                <w:bCs/>
                <w:color w:val="FFFFFF" w:themeColor="background1"/>
              </w:rPr>
              <w:t>Files Paid and Closed</w:t>
            </w:r>
          </w:p>
        </w:tc>
        <w:tc>
          <w:tcPr>
            <w:tcW w:w="274" w:type="dxa"/>
            <w:tcBorders>
              <w:top w:val="single" w:sz="4" w:space="0" w:color="auto"/>
              <w:left w:val="nil"/>
              <w:bottom w:val="single" w:sz="4" w:space="0" w:color="auto"/>
              <w:right w:val="single" w:sz="8" w:space="0" w:color="auto"/>
            </w:tcBorders>
            <w:shd w:val="clear" w:color="auto" w:fill="ED7D31" w:themeFill="accent2"/>
          </w:tcPr>
          <w:p w14:paraId="7332060C" w14:textId="77777777" w:rsidR="007B2BED" w:rsidRPr="00C63224" w:rsidRDefault="007B2BED" w:rsidP="00BB174C">
            <w:pPr>
              <w:rPr>
                <w:rFonts w:ascii="Arial" w:hAnsi="Arial" w:cs="Arial"/>
                <w:b/>
                <w:bCs/>
                <w:color w:val="000000"/>
              </w:rPr>
            </w:pPr>
          </w:p>
        </w:tc>
        <w:tc>
          <w:tcPr>
            <w:tcW w:w="1469" w:type="dxa"/>
            <w:tcBorders>
              <w:top w:val="single" w:sz="4" w:space="0" w:color="auto"/>
              <w:left w:val="nil"/>
              <w:bottom w:val="single" w:sz="8" w:space="0" w:color="auto"/>
              <w:right w:val="single" w:sz="8" w:space="0" w:color="auto"/>
            </w:tcBorders>
            <w:shd w:val="clear" w:color="auto" w:fill="002060"/>
          </w:tcPr>
          <w:p w14:paraId="611EE1C2" w14:textId="77777777" w:rsidR="007B2BED" w:rsidRPr="007B2BED" w:rsidRDefault="007B2BED" w:rsidP="00BB174C">
            <w:pPr>
              <w:jc w:val="center"/>
              <w:rPr>
                <w:rFonts w:ascii="Arial" w:hAnsi="Arial" w:cs="Arial"/>
                <w:b/>
                <w:bCs/>
                <w:color w:val="FFFFFF" w:themeColor="background1"/>
              </w:rPr>
            </w:pPr>
            <w:r w:rsidRPr="007B2BED">
              <w:rPr>
                <w:rFonts w:ascii="Arial" w:hAnsi="Arial" w:cs="Arial"/>
                <w:b/>
                <w:bCs/>
                <w:color w:val="FFFFFF" w:themeColor="background1"/>
              </w:rPr>
              <w:t>Engaged Agency</w:t>
            </w:r>
          </w:p>
        </w:tc>
        <w:tc>
          <w:tcPr>
            <w:tcW w:w="1418" w:type="dxa"/>
            <w:tcBorders>
              <w:top w:val="single" w:sz="4" w:space="0" w:color="auto"/>
              <w:left w:val="nil"/>
              <w:bottom w:val="single" w:sz="8" w:space="0" w:color="auto"/>
              <w:right w:val="single" w:sz="8" w:space="0" w:color="auto"/>
            </w:tcBorders>
            <w:shd w:val="clear" w:color="auto" w:fill="002060"/>
          </w:tcPr>
          <w:p w14:paraId="78C7C2CA" w14:textId="77777777" w:rsidR="007B2BED" w:rsidRPr="007B2BED" w:rsidRDefault="007B2BED" w:rsidP="00BB174C">
            <w:pPr>
              <w:jc w:val="center"/>
              <w:rPr>
                <w:rFonts w:ascii="Arial" w:hAnsi="Arial" w:cs="Arial"/>
                <w:b/>
                <w:bCs/>
                <w:color w:val="FFFFFF" w:themeColor="background1"/>
              </w:rPr>
            </w:pPr>
            <w:r w:rsidRPr="007B2BED">
              <w:rPr>
                <w:rFonts w:ascii="Arial" w:hAnsi="Arial" w:cs="Arial"/>
                <w:b/>
                <w:bCs/>
                <w:color w:val="FFFFFF" w:themeColor="background1"/>
              </w:rPr>
              <w:t>Files Paid and Closed</w:t>
            </w:r>
          </w:p>
        </w:tc>
      </w:tr>
      <w:tr w:rsidR="007B2BED" w14:paraId="656DFAAC" w14:textId="77777777" w:rsidTr="00652907">
        <w:trPr>
          <w:trHeight w:val="300"/>
          <w:jc w:val="center"/>
        </w:trPr>
        <w:tc>
          <w:tcPr>
            <w:tcW w:w="1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8CED72" w14:textId="77777777" w:rsidR="007B2BED" w:rsidRPr="008A7D47" w:rsidRDefault="007B2BED" w:rsidP="00BB174C">
            <w:pPr>
              <w:rPr>
                <w:rFonts w:ascii="Arial" w:hAnsi="Arial" w:cs="Arial"/>
                <w:color w:val="000000"/>
              </w:rPr>
            </w:pPr>
            <w:r w:rsidRPr="008A7D47">
              <w:rPr>
                <w:rFonts w:ascii="Arial" w:hAnsi="Arial" w:cs="Arial"/>
                <w:color w:val="000000"/>
              </w:rPr>
              <w:t xml:space="preserve">Tumut </w:t>
            </w:r>
          </w:p>
        </w:tc>
        <w:tc>
          <w:tcPr>
            <w:tcW w:w="142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97E16DD" w14:textId="77777777" w:rsidR="007B2BED" w:rsidRPr="008A7D47" w:rsidRDefault="007B2BED" w:rsidP="00BB174C">
            <w:pPr>
              <w:jc w:val="center"/>
              <w:rPr>
                <w:rFonts w:ascii="Arial" w:hAnsi="Arial" w:cs="Arial"/>
                <w:color w:val="000000"/>
              </w:rPr>
            </w:pPr>
            <w:r w:rsidRPr="008A7D47">
              <w:rPr>
                <w:rFonts w:ascii="Arial" w:hAnsi="Arial" w:cs="Arial"/>
                <w:color w:val="000000"/>
              </w:rPr>
              <w:t>684</w:t>
            </w:r>
          </w:p>
        </w:tc>
        <w:tc>
          <w:tcPr>
            <w:tcW w:w="154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3FFE38" w14:textId="77777777" w:rsidR="007B2BED" w:rsidRPr="008A7D47" w:rsidRDefault="007B2BED" w:rsidP="00BB174C">
            <w:pPr>
              <w:jc w:val="center"/>
              <w:rPr>
                <w:rFonts w:ascii="Arial" w:hAnsi="Arial" w:cs="Arial"/>
                <w:color w:val="000000"/>
              </w:rPr>
            </w:pPr>
            <w:r w:rsidRPr="008A7D47">
              <w:rPr>
                <w:rFonts w:ascii="Arial" w:hAnsi="Arial" w:cs="Arial"/>
                <w:color w:val="000000"/>
              </w:rPr>
              <w:t>671</w:t>
            </w:r>
          </w:p>
        </w:tc>
        <w:tc>
          <w:tcPr>
            <w:tcW w:w="274" w:type="dxa"/>
            <w:tcBorders>
              <w:top w:val="single" w:sz="4" w:space="0" w:color="auto"/>
              <w:left w:val="nil"/>
              <w:right w:val="single" w:sz="8" w:space="0" w:color="auto"/>
            </w:tcBorders>
            <w:shd w:val="clear" w:color="auto" w:fill="ED7D31" w:themeFill="accent2"/>
          </w:tcPr>
          <w:p w14:paraId="23086D55" w14:textId="77777777" w:rsidR="007B2BED" w:rsidRPr="008A7D47" w:rsidRDefault="007B2BED" w:rsidP="00BB174C">
            <w:pPr>
              <w:jc w:val="right"/>
              <w:rPr>
                <w:rFonts w:ascii="Arial" w:hAnsi="Arial" w:cs="Arial"/>
                <w:color w:val="000000"/>
              </w:rPr>
            </w:pPr>
          </w:p>
        </w:tc>
        <w:tc>
          <w:tcPr>
            <w:tcW w:w="1469" w:type="dxa"/>
            <w:tcBorders>
              <w:top w:val="nil"/>
              <w:left w:val="nil"/>
              <w:bottom w:val="single" w:sz="8" w:space="0" w:color="auto"/>
              <w:right w:val="single" w:sz="8" w:space="0" w:color="auto"/>
            </w:tcBorders>
          </w:tcPr>
          <w:p w14:paraId="15571832" w14:textId="77777777" w:rsidR="007B2BED" w:rsidRPr="008A7D47" w:rsidRDefault="007B2BED" w:rsidP="00BB174C">
            <w:pPr>
              <w:jc w:val="center"/>
              <w:rPr>
                <w:rFonts w:ascii="Arial" w:hAnsi="Arial" w:cs="Arial"/>
                <w:color w:val="000000"/>
              </w:rPr>
            </w:pPr>
            <w:r>
              <w:rPr>
                <w:rFonts w:ascii="Arial" w:hAnsi="Arial" w:cs="Arial"/>
                <w:color w:val="000000"/>
              </w:rPr>
              <w:t>578</w:t>
            </w:r>
          </w:p>
        </w:tc>
        <w:tc>
          <w:tcPr>
            <w:tcW w:w="1418" w:type="dxa"/>
            <w:tcBorders>
              <w:top w:val="nil"/>
              <w:left w:val="nil"/>
              <w:bottom w:val="single" w:sz="8" w:space="0" w:color="auto"/>
              <w:right w:val="single" w:sz="8" w:space="0" w:color="auto"/>
            </w:tcBorders>
          </w:tcPr>
          <w:p w14:paraId="4947E020" w14:textId="77777777" w:rsidR="007B2BED" w:rsidRPr="008A7D47" w:rsidRDefault="007B2BED" w:rsidP="00BB174C">
            <w:pPr>
              <w:jc w:val="center"/>
              <w:rPr>
                <w:rFonts w:ascii="Arial" w:hAnsi="Arial" w:cs="Arial"/>
                <w:color w:val="000000"/>
              </w:rPr>
            </w:pPr>
            <w:r>
              <w:rPr>
                <w:rFonts w:ascii="Arial" w:hAnsi="Arial" w:cs="Arial"/>
                <w:color w:val="000000"/>
              </w:rPr>
              <w:t>480</w:t>
            </w:r>
          </w:p>
        </w:tc>
      </w:tr>
      <w:tr w:rsidR="007B2BED" w14:paraId="1F9B7E22" w14:textId="77777777" w:rsidTr="00652907">
        <w:trPr>
          <w:trHeight w:val="300"/>
          <w:jc w:val="center"/>
        </w:trPr>
        <w:tc>
          <w:tcPr>
            <w:tcW w:w="1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368A86" w14:textId="77777777" w:rsidR="007B2BED" w:rsidRPr="008A7D47" w:rsidRDefault="007B2BED" w:rsidP="00BB174C">
            <w:pPr>
              <w:rPr>
                <w:rFonts w:ascii="Arial" w:hAnsi="Arial" w:cs="Arial"/>
                <w:color w:val="000000"/>
              </w:rPr>
            </w:pPr>
            <w:r w:rsidRPr="008A7D47">
              <w:rPr>
                <w:rFonts w:ascii="Arial" w:hAnsi="Arial" w:cs="Arial"/>
                <w:color w:val="000000"/>
              </w:rPr>
              <w:t xml:space="preserve">Adelong </w:t>
            </w:r>
          </w:p>
        </w:tc>
        <w:tc>
          <w:tcPr>
            <w:tcW w:w="1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6D220E" w14:textId="77777777" w:rsidR="007B2BED" w:rsidRPr="008A7D47" w:rsidRDefault="007B2BED" w:rsidP="00BB174C">
            <w:pPr>
              <w:jc w:val="center"/>
              <w:rPr>
                <w:rFonts w:ascii="Arial" w:hAnsi="Arial" w:cs="Arial"/>
                <w:color w:val="000000"/>
              </w:rPr>
            </w:pPr>
            <w:r w:rsidRPr="008A7D47">
              <w:rPr>
                <w:rFonts w:ascii="Arial" w:hAnsi="Arial" w:cs="Arial"/>
                <w:color w:val="000000"/>
              </w:rPr>
              <w:t>130</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031B9" w14:textId="77777777" w:rsidR="007B2BED" w:rsidRPr="008A7D47" w:rsidRDefault="007B2BED" w:rsidP="00BB174C">
            <w:pPr>
              <w:jc w:val="center"/>
              <w:rPr>
                <w:rFonts w:ascii="Arial" w:hAnsi="Arial" w:cs="Arial"/>
                <w:color w:val="000000"/>
              </w:rPr>
            </w:pPr>
            <w:r w:rsidRPr="008A7D47">
              <w:rPr>
                <w:rFonts w:ascii="Arial" w:hAnsi="Arial" w:cs="Arial"/>
                <w:color w:val="000000"/>
              </w:rPr>
              <w:t>130</w:t>
            </w:r>
          </w:p>
        </w:tc>
        <w:tc>
          <w:tcPr>
            <w:tcW w:w="274" w:type="dxa"/>
            <w:tcBorders>
              <w:left w:val="nil"/>
              <w:right w:val="single" w:sz="8" w:space="0" w:color="auto"/>
            </w:tcBorders>
            <w:shd w:val="clear" w:color="auto" w:fill="ED7D31" w:themeFill="accent2"/>
          </w:tcPr>
          <w:p w14:paraId="0B4080B8" w14:textId="77777777" w:rsidR="007B2BED" w:rsidRPr="008A7D47" w:rsidRDefault="007B2BED" w:rsidP="00BB174C">
            <w:pPr>
              <w:jc w:val="right"/>
              <w:rPr>
                <w:rFonts w:ascii="Arial" w:hAnsi="Arial" w:cs="Arial"/>
                <w:color w:val="000000"/>
              </w:rPr>
            </w:pPr>
          </w:p>
        </w:tc>
        <w:tc>
          <w:tcPr>
            <w:tcW w:w="1469" w:type="dxa"/>
            <w:tcBorders>
              <w:top w:val="nil"/>
              <w:left w:val="nil"/>
              <w:bottom w:val="single" w:sz="8" w:space="0" w:color="auto"/>
              <w:right w:val="single" w:sz="8" w:space="0" w:color="auto"/>
            </w:tcBorders>
          </w:tcPr>
          <w:p w14:paraId="4496C5B8" w14:textId="77777777" w:rsidR="007B2BED" w:rsidRPr="008A7D47" w:rsidRDefault="007B2BED" w:rsidP="00BB174C">
            <w:pPr>
              <w:jc w:val="center"/>
              <w:rPr>
                <w:rFonts w:ascii="Arial" w:hAnsi="Arial" w:cs="Arial"/>
                <w:color w:val="000000"/>
              </w:rPr>
            </w:pPr>
            <w:r>
              <w:rPr>
                <w:rFonts w:ascii="Arial" w:hAnsi="Arial" w:cs="Arial"/>
                <w:color w:val="000000"/>
              </w:rPr>
              <w:t>117</w:t>
            </w:r>
          </w:p>
        </w:tc>
        <w:tc>
          <w:tcPr>
            <w:tcW w:w="1418" w:type="dxa"/>
            <w:tcBorders>
              <w:top w:val="nil"/>
              <w:left w:val="nil"/>
              <w:bottom w:val="single" w:sz="8" w:space="0" w:color="auto"/>
              <w:right w:val="single" w:sz="8" w:space="0" w:color="auto"/>
            </w:tcBorders>
          </w:tcPr>
          <w:p w14:paraId="672C0A7E" w14:textId="77777777" w:rsidR="007B2BED" w:rsidRPr="008A7D47" w:rsidRDefault="007B2BED" w:rsidP="00BB174C">
            <w:pPr>
              <w:jc w:val="center"/>
              <w:rPr>
                <w:rFonts w:ascii="Arial" w:hAnsi="Arial" w:cs="Arial"/>
                <w:color w:val="000000"/>
              </w:rPr>
            </w:pPr>
            <w:r>
              <w:rPr>
                <w:rFonts w:ascii="Arial" w:hAnsi="Arial" w:cs="Arial"/>
                <w:color w:val="000000"/>
              </w:rPr>
              <w:t>81</w:t>
            </w:r>
          </w:p>
        </w:tc>
      </w:tr>
      <w:tr w:rsidR="007B2BED" w14:paraId="05EBE0CE" w14:textId="77777777" w:rsidTr="00652907">
        <w:trPr>
          <w:trHeight w:val="300"/>
          <w:jc w:val="center"/>
        </w:trPr>
        <w:tc>
          <w:tcPr>
            <w:tcW w:w="1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42A995" w14:textId="77777777" w:rsidR="007B2BED" w:rsidRPr="008A7D47" w:rsidRDefault="007B2BED" w:rsidP="00BB174C">
            <w:pPr>
              <w:rPr>
                <w:rFonts w:ascii="Arial" w:hAnsi="Arial" w:cs="Arial"/>
                <w:color w:val="000000"/>
              </w:rPr>
            </w:pPr>
            <w:r w:rsidRPr="008A7D47">
              <w:rPr>
                <w:rFonts w:ascii="Arial" w:hAnsi="Arial" w:cs="Arial"/>
                <w:color w:val="000000"/>
              </w:rPr>
              <w:t xml:space="preserve">Tumbarumba </w:t>
            </w:r>
          </w:p>
        </w:tc>
        <w:tc>
          <w:tcPr>
            <w:tcW w:w="1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707AB1" w14:textId="77777777" w:rsidR="007B2BED" w:rsidRPr="008A7D47" w:rsidRDefault="007B2BED" w:rsidP="00BB174C">
            <w:pPr>
              <w:jc w:val="center"/>
              <w:rPr>
                <w:rFonts w:ascii="Arial" w:hAnsi="Arial" w:cs="Arial"/>
                <w:color w:val="000000"/>
              </w:rPr>
            </w:pPr>
            <w:r w:rsidRPr="008A7D47">
              <w:rPr>
                <w:rFonts w:ascii="Arial" w:hAnsi="Arial" w:cs="Arial"/>
                <w:color w:val="000000"/>
              </w:rPr>
              <w:t>282</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1FAFAA" w14:textId="77777777" w:rsidR="007B2BED" w:rsidRPr="008A7D47" w:rsidRDefault="007B2BED" w:rsidP="00BB174C">
            <w:pPr>
              <w:jc w:val="center"/>
              <w:rPr>
                <w:rFonts w:ascii="Arial" w:hAnsi="Arial" w:cs="Arial"/>
                <w:color w:val="000000"/>
              </w:rPr>
            </w:pPr>
            <w:r w:rsidRPr="008A7D47">
              <w:rPr>
                <w:rFonts w:ascii="Arial" w:hAnsi="Arial" w:cs="Arial"/>
                <w:color w:val="000000"/>
              </w:rPr>
              <w:t>265</w:t>
            </w:r>
          </w:p>
        </w:tc>
        <w:tc>
          <w:tcPr>
            <w:tcW w:w="274" w:type="dxa"/>
            <w:tcBorders>
              <w:left w:val="nil"/>
              <w:right w:val="single" w:sz="8" w:space="0" w:color="auto"/>
            </w:tcBorders>
            <w:shd w:val="clear" w:color="auto" w:fill="ED7D31" w:themeFill="accent2"/>
          </w:tcPr>
          <w:p w14:paraId="67A30504" w14:textId="77777777" w:rsidR="007B2BED" w:rsidRPr="008A7D47" w:rsidRDefault="007B2BED" w:rsidP="00BB174C">
            <w:pPr>
              <w:jc w:val="right"/>
              <w:rPr>
                <w:rFonts w:ascii="Arial" w:hAnsi="Arial" w:cs="Arial"/>
                <w:color w:val="000000"/>
              </w:rPr>
            </w:pPr>
          </w:p>
        </w:tc>
        <w:tc>
          <w:tcPr>
            <w:tcW w:w="1469" w:type="dxa"/>
            <w:tcBorders>
              <w:top w:val="nil"/>
              <w:left w:val="nil"/>
              <w:bottom w:val="single" w:sz="8" w:space="0" w:color="auto"/>
              <w:right w:val="single" w:sz="8" w:space="0" w:color="auto"/>
            </w:tcBorders>
          </w:tcPr>
          <w:p w14:paraId="740458D2" w14:textId="77777777" w:rsidR="007B2BED" w:rsidRPr="008A7D47" w:rsidRDefault="007B2BED" w:rsidP="00BB174C">
            <w:pPr>
              <w:jc w:val="center"/>
              <w:rPr>
                <w:rFonts w:ascii="Arial" w:hAnsi="Arial" w:cs="Arial"/>
                <w:color w:val="000000"/>
              </w:rPr>
            </w:pPr>
            <w:r>
              <w:rPr>
                <w:rFonts w:ascii="Arial" w:hAnsi="Arial" w:cs="Arial"/>
                <w:color w:val="000000"/>
              </w:rPr>
              <w:t>234</w:t>
            </w:r>
          </w:p>
        </w:tc>
        <w:tc>
          <w:tcPr>
            <w:tcW w:w="1418" w:type="dxa"/>
            <w:tcBorders>
              <w:top w:val="nil"/>
              <w:left w:val="nil"/>
              <w:bottom w:val="single" w:sz="8" w:space="0" w:color="auto"/>
              <w:right w:val="single" w:sz="8" w:space="0" w:color="auto"/>
            </w:tcBorders>
          </w:tcPr>
          <w:p w14:paraId="65D05F7B" w14:textId="77777777" w:rsidR="007B2BED" w:rsidRPr="008A7D47" w:rsidRDefault="007B2BED" w:rsidP="00BB174C">
            <w:pPr>
              <w:jc w:val="center"/>
              <w:rPr>
                <w:rFonts w:ascii="Arial" w:hAnsi="Arial" w:cs="Arial"/>
                <w:color w:val="000000"/>
              </w:rPr>
            </w:pPr>
            <w:r>
              <w:rPr>
                <w:rFonts w:ascii="Arial" w:hAnsi="Arial" w:cs="Arial"/>
                <w:color w:val="000000"/>
              </w:rPr>
              <w:t>193</w:t>
            </w:r>
          </w:p>
        </w:tc>
      </w:tr>
      <w:tr w:rsidR="007B2BED" w14:paraId="187FCF4E" w14:textId="77777777" w:rsidTr="00652907">
        <w:trPr>
          <w:trHeight w:val="300"/>
          <w:jc w:val="center"/>
        </w:trPr>
        <w:tc>
          <w:tcPr>
            <w:tcW w:w="1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1C009F" w14:textId="77777777" w:rsidR="007B2BED" w:rsidRPr="008A7D47" w:rsidRDefault="007B2BED" w:rsidP="00BB174C">
            <w:pPr>
              <w:rPr>
                <w:rFonts w:ascii="Arial" w:hAnsi="Arial" w:cs="Arial"/>
                <w:color w:val="000000"/>
              </w:rPr>
            </w:pPr>
            <w:r w:rsidRPr="008A7D47">
              <w:rPr>
                <w:rFonts w:ascii="Arial" w:hAnsi="Arial" w:cs="Arial"/>
                <w:color w:val="000000"/>
              </w:rPr>
              <w:t xml:space="preserve">Batlow </w:t>
            </w:r>
          </w:p>
        </w:tc>
        <w:tc>
          <w:tcPr>
            <w:tcW w:w="1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50C008" w14:textId="77777777" w:rsidR="007B2BED" w:rsidRPr="008A7D47" w:rsidRDefault="007B2BED" w:rsidP="00BB174C">
            <w:pPr>
              <w:jc w:val="center"/>
              <w:rPr>
                <w:rFonts w:ascii="Arial" w:hAnsi="Arial" w:cs="Arial"/>
                <w:color w:val="000000"/>
              </w:rPr>
            </w:pPr>
            <w:r w:rsidRPr="008A7D47">
              <w:rPr>
                <w:rFonts w:ascii="Arial" w:hAnsi="Arial" w:cs="Arial"/>
                <w:color w:val="000000"/>
              </w:rPr>
              <w:t>242</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3DECD" w14:textId="77777777" w:rsidR="007B2BED" w:rsidRPr="008A7D47" w:rsidRDefault="007B2BED" w:rsidP="00BB174C">
            <w:pPr>
              <w:jc w:val="center"/>
              <w:rPr>
                <w:rFonts w:ascii="Arial" w:hAnsi="Arial" w:cs="Arial"/>
                <w:color w:val="000000"/>
              </w:rPr>
            </w:pPr>
            <w:r w:rsidRPr="008A7D47">
              <w:rPr>
                <w:rFonts w:ascii="Arial" w:hAnsi="Arial" w:cs="Arial"/>
                <w:color w:val="000000"/>
              </w:rPr>
              <w:t>232</w:t>
            </w:r>
          </w:p>
        </w:tc>
        <w:tc>
          <w:tcPr>
            <w:tcW w:w="274" w:type="dxa"/>
            <w:tcBorders>
              <w:left w:val="nil"/>
              <w:right w:val="single" w:sz="8" w:space="0" w:color="auto"/>
            </w:tcBorders>
            <w:shd w:val="clear" w:color="auto" w:fill="ED7D31" w:themeFill="accent2"/>
          </w:tcPr>
          <w:p w14:paraId="72E74DE3" w14:textId="77777777" w:rsidR="007B2BED" w:rsidRPr="008A7D47" w:rsidRDefault="007B2BED" w:rsidP="00BB174C">
            <w:pPr>
              <w:jc w:val="right"/>
              <w:rPr>
                <w:rFonts w:ascii="Arial" w:hAnsi="Arial" w:cs="Arial"/>
                <w:color w:val="000000"/>
              </w:rPr>
            </w:pPr>
          </w:p>
        </w:tc>
        <w:tc>
          <w:tcPr>
            <w:tcW w:w="1469" w:type="dxa"/>
            <w:tcBorders>
              <w:top w:val="nil"/>
              <w:left w:val="nil"/>
              <w:bottom w:val="single" w:sz="8" w:space="0" w:color="auto"/>
              <w:right w:val="single" w:sz="8" w:space="0" w:color="auto"/>
            </w:tcBorders>
          </w:tcPr>
          <w:p w14:paraId="2EA4017D" w14:textId="77777777" w:rsidR="007B2BED" w:rsidRPr="008A7D47" w:rsidRDefault="007B2BED" w:rsidP="00BB174C">
            <w:pPr>
              <w:jc w:val="center"/>
              <w:rPr>
                <w:rFonts w:ascii="Arial" w:hAnsi="Arial" w:cs="Arial"/>
                <w:color w:val="000000"/>
              </w:rPr>
            </w:pPr>
            <w:r>
              <w:rPr>
                <w:rFonts w:ascii="Arial" w:hAnsi="Arial" w:cs="Arial"/>
                <w:color w:val="000000"/>
              </w:rPr>
              <w:t>174</w:t>
            </w:r>
          </w:p>
        </w:tc>
        <w:tc>
          <w:tcPr>
            <w:tcW w:w="1418" w:type="dxa"/>
            <w:tcBorders>
              <w:top w:val="nil"/>
              <w:left w:val="nil"/>
              <w:bottom w:val="single" w:sz="8" w:space="0" w:color="auto"/>
              <w:right w:val="single" w:sz="8" w:space="0" w:color="auto"/>
            </w:tcBorders>
          </w:tcPr>
          <w:p w14:paraId="64D9F458" w14:textId="77777777" w:rsidR="007B2BED" w:rsidRPr="008A7D47" w:rsidRDefault="007B2BED" w:rsidP="00BB174C">
            <w:pPr>
              <w:jc w:val="center"/>
              <w:rPr>
                <w:rFonts w:ascii="Arial" w:hAnsi="Arial" w:cs="Arial"/>
                <w:color w:val="000000"/>
              </w:rPr>
            </w:pPr>
            <w:r>
              <w:rPr>
                <w:rFonts w:ascii="Arial" w:hAnsi="Arial" w:cs="Arial"/>
                <w:color w:val="000000"/>
              </w:rPr>
              <w:t>145</w:t>
            </w:r>
          </w:p>
        </w:tc>
      </w:tr>
      <w:tr w:rsidR="007B2BED" w14:paraId="61EB4103" w14:textId="77777777" w:rsidTr="00652907">
        <w:trPr>
          <w:trHeight w:val="300"/>
          <w:jc w:val="center"/>
        </w:trPr>
        <w:tc>
          <w:tcPr>
            <w:tcW w:w="15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40960F" w14:textId="77777777" w:rsidR="007B2BED" w:rsidRPr="008A7D47" w:rsidRDefault="007B2BED" w:rsidP="00BB174C">
            <w:pPr>
              <w:rPr>
                <w:rFonts w:ascii="Arial" w:hAnsi="Arial" w:cs="Arial"/>
                <w:color w:val="000000"/>
              </w:rPr>
            </w:pPr>
            <w:r w:rsidRPr="008A7D47">
              <w:rPr>
                <w:rFonts w:ascii="Arial" w:hAnsi="Arial" w:cs="Arial"/>
                <w:color w:val="000000"/>
              </w:rPr>
              <w:t>Rosewood</w:t>
            </w:r>
          </w:p>
        </w:tc>
        <w:tc>
          <w:tcPr>
            <w:tcW w:w="1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C9BC88" w14:textId="77777777" w:rsidR="007B2BED" w:rsidRPr="008A7D47" w:rsidRDefault="007B2BED" w:rsidP="00BB174C">
            <w:pPr>
              <w:jc w:val="center"/>
              <w:rPr>
                <w:rFonts w:ascii="Arial" w:hAnsi="Arial" w:cs="Arial"/>
                <w:color w:val="000000"/>
              </w:rPr>
            </w:pPr>
            <w:r w:rsidRPr="008A7D47">
              <w:rPr>
                <w:rFonts w:ascii="Arial" w:hAnsi="Arial" w:cs="Arial"/>
                <w:color w:val="000000"/>
              </w:rPr>
              <w:t>36</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526348" w14:textId="77777777" w:rsidR="007B2BED" w:rsidRPr="008A7D47" w:rsidRDefault="007B2BED" w:rsidP="00BB174C">
            <w:pPr>
              <w:jc w:val="center"/>
              <w:rPr>
                <w:rFonts w:ascii="Arial" w:hAnsi="Arial" w:cs="Arial"/>
                <w:color w:val="000000"/>
              </w:rPr>
            </w:pPr>
            <w:r w:rsidRPr="008A7D47">
              <w:rPr>
                <w:rFonts w:ascii="Arial" w:hAnsi="Arial" w:cs="Arial"/>
                <w:color w:val="000000"/>
              </w:rPr>
              <w:t>32</w:t>
            </w:r>
          </w:p>
        </w:tc>
        <w:tc>
          <w:tcPr>
            <w:tcW w:w="274" w:type="dxa"/>
            <w:tcBorders>
              <w:left w:val="nil"/>
              <w:bottom w:val="single" w:sz="8" w:space="0" w:color="auto"/>
              <w:right w:val="single" w:sz="8" w:space="0" w:color="auto"/>
            </w:tcBorders>
            <w:shd w:val="clear" w:color="auto" w:fill="ED7D31" w:themeFill="accent2"/>
          </w:tcPr>
          <w:p w14:paraId="1BB78BA3" w14:textId="77777777" w:rsidR="007B2BED" w:rsidRPr="008A7D47" w:rsidRDefault="007B2BED" w:rsidP="00BB174C">
            <w:pPr>
              <w:jc w:val="right"/>
              <w:rPr>
                <w:rFonts w:ascii="Arial" w:hAnsi="Arial" w:cs="Arial"/>
                <w:color w:val="000000"/>
              </w:rPr>
            </w:pPr>
          </w:p>
        </w:tc>
        <w:tc>
          <w:tcPr>
            <w:tcW w:w="1469" w:type="dxa"/>
            <w:tcBorders>
              <w:top w:val="nil"/>
              <w:left w:val="nil"/>
              <w:bottom w:val="single" w:sz="8" w:space="0" w:color="auto"/>
              <w:right w:val="single" w:sz="8" w:space="0" w:color="auto"/>
            </w:tcBorders>
          </w:tcPr>
          <w:p w14:paraId="6B74B4D1" w14:textId="77777777" w:rsidR="007B2BED" w:rsidRPr="008A7D47" w:rsidRDefault="007B2BED" w:rsidP="00BB174C">
            <w:pPr>
              <w:jc w:val="center"/>
              <w:rPr>
                <w:rFonts w:ascii="Arial" w:hAnsi="Arial" w:cs="Arial"/>
                <w:color w:val="000000"/>
              </w:rPr>
            </w:pPr>
            <w:r>
              <w:rPr>
                <w:rFonts w:ascii="Arial" w:hAnsi="Arial" w:cs="Arial"/>
                <w:color w:val="000000"/>
              </w:rPr>
              <w:t>31</w:t>
            </w:r>
          </w:p>
        </w:tc>
        <w:tc>
          <w:tcPr>
            <w:tcW w:w="1418" w:type="dxa"/>
            <w:tcBorders>
              <w:top w:val="nil"/>
              <w:left w:val="nil"/>
              <w:bottom w:val="single" w:sz="8" w:space="0" w:color="auto"/>
              <w:right w:val="single" w:sz="8" w:space="0" w:color="auto"/>
            </w:tcBorders>
          </w:tcPr>
          <w:p w14:paraId="7749B680" w14:textId="77777777" w:rsidR="007B2BED" w:rsidRPr="008A7D47" w:rsidRDefault="007B2BED" w:rsidP="00BB174C">
            <w:pPr>
              <w:jc w:val="center"/>
              <w:rPr>
                <w:rFonts w:ascii="Arial" w:hAnsi="Arial" w:cs="Arial"/>
                <w:color w:val="000000"/>
              </w:rPr>
            </w:pPr>
            <w:r>
              <w:rPr>
                <w:rFonts w:ascii="Arial" w:hAnsi="Arial" w:cs="Arial"/>
                <w:color w:val="000000"/>
              </w:rPr>
              <w:t>20</w:t>
            </w:r>
          </w:p>
        </w:tc>
      </w:tr>
    </w:tbl>
    <w:p w14:paraId="3CFFB1FA" w14:textId="77777777" w:rsidR="00C63224" w:rsidRDefault="00C63224">
      <w:pPr>
        <w:rPr>
          <w:rFonts w:ascii="Arial" w:hAnsi="Arial" w:cs="Arial"/>
        </w:rPr>
      </w:pPr>
    </w:p>
    <w:p w14:paraId="41DC9E0B" w14:textId="3D37220D" w:rsidR="003F152A" w:rsidRPr="009E5ABF" w:rsidRDefault="00E54778" w:rsidP="00652907">
      <w:pPr>
        <w:jc w:val="both"/>
        <w:rPr>
          <w:rFonts w:ascii="Arial" w:hAnsi="Arial" w:cs="Arial"/>
        </w:rPr>
      </w:pPr>
      <w:r>
        <w:rPr>
          <w:rFonts w:ascii="Arial" w:hAnsi="Arial" w:cs="Arial"/>
        </w:rPr>
        <w:lastRenderedPageBreak/>
        <w:t>Overall</w:t>
      </w:r>
      <w:r w:rsidR="0066779B">
        <w:rPr>
          <w:rFonts w:ascii="Arial" w:hAnsi="Arial" w:cs="Arial"/>
        </w:rPr>
        <w:t>,</w:t>
      </w:r>
      <w:r>
        <w:rPr>
          <w:rFonts w:ascii="Arial" w:hAnsi="Arial" w:cs="Arial"/>
        </w:rPr>
        <w:t xml:space="preserve"> there has been a decline in ratepayers engaged with Council’s debt collection agency between 2021/</w:t>
      </w:r>
      <w:r w:rsidR="005E6CBF">
        <w:rPr>
          <w:rFonts w:ascii="Arial" w:hAnsi="Arial" w:cs="Arial"/>
        </w:rPr>
        <w:t>20</w:t>
      </w:r>
      <w:r>
        <w:rPr>
          <w:rFonts w:ascii="Arial" w:hAnsi="Arial" w:cs="Arial"/>
        </w:rPr>
        <w:t>22 and 2022/</w:t>
      </w:r>
      <w:r w:rsidR="005E6CBF">
        <w:rPr>
          <w:rFonts w:ascii="Arial" w:hAnsi="Arial" w:cs="Arial"/>
        </w:rPr>
        <w:t>20</w:t>
      </w:r>
      <w:r>
        <w:rPr>
          <w:rFonts w:ascii="Arial" w:hAnsi="Arial" w:cs="Arial"/>
        </w:rPr>
        <w:t>23.</w:t>
      </w:r>
      <w:r w:rsidR="003B51B7">
        <w:rPr>
          <w:rFonts w:ascii="Arial" w:hAnsi="Arial" w:cs="Arial"/>
        </w:rPr>
        <w:t xml:space="preserve"> </w:t>
      </w:r>
      <w:r w:rsidR="003B51B7" w:rsidRPr="003B51B7">
        <w:rPr>
          <w:rFonts w:ascii="Arial" w:hAnsi="Arial" w:cs="Arial"/>
        </w:rPr>
        <w:t>This is possibly due to an increase in r</w:t>
      </w:r>
      <w:r w:rsidR="003B51B7">
        <w:rPr>
          <w:rFonts w:ascii="Arial" w:hAnsi="Arial" w:cs="Arial"/>
        </w:rPr>
        <w:t>ate</w:t>
      </w:r>
      <w:r w:rsidR="003B51B7" w:rsidRPr="003B51B7">
        <w:rPr>
          <w:rFonts w:ascii="Arial" w:hAnsi="Arial" w:cs="Arial"/>
        </w:rPr>
        <w:t xml:space="preserve"> payment </w:t>
      </w:r>
      <w:r w:rsidR="003B51B7">
        <w:rPr>
          <w:rFonts w:ascii="Arial" w:hAnsi="Arial" w:cs="Arial"/>
        </w:rPr>
        <w:t xml:space="preserve">hardship </w:t>
      </w:r>
      <w:r w:rsidR="003B51B7" w:rsidRPr="003B51B7">
        <w:rPr>
          <w:rFonts w:ascii="Arial" w:hAnsi="Arial" w:cs="Arial"/>
        </w:rPr>
        <w:t>plans resulting in le</w:t>
      </w:r>
      <w:r w:rsidR="003B51B7">
        <w:rPr>
          <w:rFonts w:ascii="Arial" w:hAnsi="Arial" w:cs="Arial"/>
        </w:rPr>
        <w:t xml:space="preserve">ss outstanding rate </w:t>
      </w:r>
      <w:r w:rsidR="003B51B7" w:rsidRPr="003B51B7">
        <w:rPr>
          <w:rFonts w:ascii="Arial" w:hAnsi="Arial" w:cs="Arial"/>
        </w:rPr>
        <w:t>case</w:t>
      </w:r>
      <w:r w:rsidR="003B51B7">
        <w:rPr>
          <w:rFonts w:ascii="Arial" w:hAnsi="Arial" w:cs="Arial"/>
        </w:rPr>
        <w:t>s</w:t>
      </w:r>
      <w:r w:rsidR="003B51B7" w:rsidRPr="003B51B7">
        <w:rPr>
          <w:rFonts w:ascii="Arial" w:hAnsi="Arial" w:cs="Arial"/>
        </w:rPr>
        <w:t xml:space="preserve"> being referred for debt collection</w:t>
      </w:r>
      <w:r w:rsidR="003B51B7">
        <w:rPr>
          <w:rFonts w:ascii="Arial" w:hAnsi="Arial" w:cs="Arial"/>
        </w:rPr>
        <w:t xml:space="preserve">. </w:t>
      </w:r>
      <w:r>
        <w:rPr>
          <w:rFonts w:ascii="Arial" w:hAnsi="Arial" w:cs="Arial"/>
        </w:rPr>
        <w:t xml:space="preserve"> </w:t>
      </w:r>
      <w:bookmarkStart w:id="29" w:name="_bookmark20"/>
      <w:bookmarkEnd w:id="29"/>
    </w:p>
    <w:p w14:paraId="191792C4" w14:textId="77777777" w:rsidR="003F152A" w:rsidRPr="002E0D67" w:rsidRDefault="003F152A" w:rsidP="003F152A">
      <w:pPr>
        <w:pStyle w:val="BodyText"/>
        <w:spacing w:line="259" w:lineRule="auto"/>
        <w:ind w:left="709" w:right="95"/>
        <w:jc w:val="both"/>
        <w:rPr>
          <w:rFonts w:ascii="Arial" w:hAnsi="Arial" w:cs="Arial"/>
          <w:color w:val="404142"/>
        </w:rPr>
      </w:pPr>
    </w:p>
    <w:p w14:paraId="1001EA8F" w14:textId="42428C34" w:rsidR="003A5985" w:rsidRPr="001F10D7" w:rsidRDefault="003A5985" w:rsidP="005F2C74">
      <w:pPr>
        <w:pStyle w:val="Heading1"/>
        <w:rPr>
          <w:rFonts w:ascii="Arial" w:hAnsi="Arial" w:cs="Arial"/>
          <w:b/>
          <w:bCs/>
          <w:sz w:val="22"/>
          <w:szCs w:val="22"/>
        </w:rPr>
      </w:pPr>
      <w:bookmarkStart w:id="30" w:name="_Toc156305611"/>
      <w:r w:rsidRPr="001F10D7">
        <w:rPr>
          <w:rFonts w:ascii="Arial" w:hAnsi="Arial" w:cs="Arial"/>
          <w:b/>
          <w:bCs/>
          <w:sz w:val="22"/>
          <w:szCs w:val="22"/>
        </w:rPr>
        <w:t>Conclusion</w:t>
      </w:r>
      <w:bookmarkEnd w:id="30"/>
    </w:p>
    <w:p w14:paraId="4BD70D62" w14:textId="4C5E7D0F" w:rsidR="00397521" w:rsidRPr="001F4A89" w:rsidRDefault="00397521" w:rsidP="003A5985">
      <w:pPr>
        <w:shd w:val="clear" w:color="auto" w:fill="FFFFFF" w:themeFill="background1"/>
        <w:jc w:val="both"/>
        <w:rPr>
          <w:rFonts w:ascii="Arial" w:hAnsi="Arial" w:cs="Arial"/>
        </w:rPr>
      </w:pPr>
      <w:r w:rsidRPr="001F4A89">
        <w:rPr>
          <w:rFonts w:ascii="Arial" w:hAnsi="Arial" w:cs="Arial"/>
        </w:rPr>
        <w:t xml:space="preserve">A review of the demographics and statistics indicates that there is distinct </w:t>
      </w:r>
      <w:r w:rsidR="001D6580" w:rsidRPr="001F4A89">
        <w:rPr>
          <w:rFonts w:ascii="Arial" w:hAnsi="Arial" w:cs="Arial"/>
        </w:rPr>
        <w:t xml:space="preserve">imbalance </w:t>
      </w:r>
      <w:r w:rsidRPr="001F4A89">
        <w:rPr>
          <w:rFonts w:ascii="Arial" w:hAnsi="Arial" w:cs="Arial"/>
        </w:rPr>
        <w:t>throughout the LGA which impacts the community’s capacity and willingness to pay rates.</w:t>
      </w:r>
    </w:p>
    <w:p w14:paraId="658885FE" w14:textId="0E9A0C12" w:rsidR="00356F6C" w:rsidRPr="001F4A89" w:rsidRDefault="005F2C74" w:rsidP="003A5985">
      <w:pPr>
        <w:shd w:val="clear" w:color="auto" w:fill="FFFFFF" w:themeFill="background1"/>
        <w:jc w:val="both"/>
        <w:rPr>
          <w:rFonts w:ascii="Arial" w:hAnsi="Arial" w:cs="Arial"/>
        </w:rPr>
      </w:pPr>
      <w:r w:rsidRPr="001F4A89">
        <w:rPr>
          <w:rFonts w:ascii="Arial" w:hAnsi="Arial" w:cs="Arial"/>
        </w:rPr>
        <w:t>Overall</w:t>
      </w:r>
      <w:r w:rsidR="005E6CBF" w:rsidRPr="001F4A89">
        <w:rPr>
          <w:rFonts w:ascii="Arial" w:hAnsi="Arial" w:cs="Arial"/>
        </w:rPr>
        <w:t>,</w:t>
      </w:r>
      <w:r w:rsidRPr="001F4A89">
        <w:rPr>
          <w:rFonts w:ascii="Arial" w:hAnsi="Arial" w:cs="Arial"/>
        </w:rPr>
        <w:t xml:space="preserve"> the </w:t>
      </w:r>
      <w:r w:rsidR="00D6458B">
        <w:rPr>
          <w:rFonts w:ascii="Arial" w:hAnsi="Arial" w:cs="Arial"/>
        </w:rPr>
        <w:t>un</w:t>
      </w:r>
      <w:r w:rsidRPr="001F4A89">
        <w:rPr>
          <w:rFonts w:ascii="Arial" w:hAnsi="Arial" w:cs="Arial"/>
        </w:rPr>
        <w:t xml:space="preserve">employment rate </w:t>
      </w:r>
      <w:r w:rsidR="00356F6C" w:rsidRPr="001F4A89">
        <w:rPr>
          <w:rFonts w:ascii="Arial" w:hAnsi="Arial" w:cs="Arial"/>
        </w:rPr>
        <w:t xml:space="preserve">of 4.2% </w:t>
      </w:r>
      <w:r w:rsidRPr="001F4A89">
        <w:rPr>
          <w:rFonts w:ascii="Arial" w:hAnsi="Arial" w:cs="Arial"/>
        </w:rPr>
        <w:t xml:space="preserve">is lower that the regional average of </w:t>
      </w:r>
      <w:r w:rsidR="00356F6C" w:rsidRPr="001F4A89">
        <w:rPr>
          <w:rFonts w:ascii="Arial" w:hAnsi="Arial" w:cs="Arial"/>
        </w:rPr>
        <w:t>4.6%</w:t>
      </w:r>
      <w:r w:rsidRPr="001F4A89">
        <w:rPr>
          <w:rFonts w:ascii="Arial" w:hAnsi="Arial" w:cs="Arial"/>
        </w:rPr>
        <w:t xml:space="preserve"> with </w:t>
      </w:r>
      <w:r w:rsidR="00356F6C" w:rsidRPr="001F4A89">
        <w:rPr>
          <w:rFonts w:ascii="Arial" w:hAnsi="Arial" w:cs="Arial"/>
        </w:rPr>
        <w:t>95.8</w:t>
      </w:r>
      <w:r w:rsidRPr="001F4A89">
        <w:rPr>
          <w:rFonts w:ascii="Arial" w:hAnsi="Arial" w:cs="Arial"/>
        </w:rPr>
        <w:t xml:space="preserve">% of the population employed on a full time or part time basis. </w:t>
      </w:r>
      <w:r w:rsidR="00417306" w:rsidRPr="001F4A89">
        <w:rPr>
          <w:rFonts w:ascii="Arial" w:hAnsi="Arial" w:cs="Arial"/>
        </w:rPr>
        <w:t xml:space="preserve">Housing tenure statistics shows that there is a larger portion of households who own their dwelling (40.1%) compared to the regional average (36.3%). </w:t>
      </w:r>
      <w:r w:rsidR="00D96C80" w:rsidRPr="001F4A89">
        <w:rPr>
          <w:rFonts w:ascii="Arial" w:hAnsi="Arial" w:cs="Arial"/>
        </w:rPr>
        <w:t>Median household income is also in line with regional NSW averages.</w:t>
      </w:r>
    </w:p>
    <w:p w14:paraId="1F59E390" w14:textId="2669D59C" w:rsidR="005F2C74" w:rsidRPr="001F4A89" w:rsidRDefault="00D96C80" w:rsidP="003A5985">
      <w:pPr>
        <w:shd w:val="clear" w:color="auto" w:fill="FFFFFF" w:themeFill="background1"/>
        <w:jc w:val="both"/>
        <w:rPr>
          <w:rFonts w:ascii="Arial" w:hAnsi="Arial" w:cs="Arial"/>
        </w:rPr>
      </w:pPr>
      <w:r w:rsidRPr="001F4A89">
        <w:rPr>
          <w:rFonts w:ascii="Arial" w:hAnsi="Arial" w:cs="Arial"/>
        </w:rPr>
        <w:t>However, t</w:t>
      </w:r>
      <w:r w:rsidR="005F2C74" w:rsidRPr="001F4A89">
        <w:rPr>
          <w:rFonts w:ascii="Arial" w:hAnsi="Arial" w:cs="Arial"/>
        </w:rPr>
        <w:t xml:space="preserve">here are certain areas of the community that are disadvantaged and are experiencing levels of stress regarding </w:t>
      </w:r>
      <w:r w:rsidR="00822539" w:rsidRPr="001F4A89">
        <w:rPr>
          <w:rFonts w:ascii="Arial" w:hAnsi="Arial" w:cs="Arial"/>
        </w:rPr>
        <w:t>cost-of-living</w:t>
      </w:r>
      <w:r w:rsidR="005F2C74" w:rsidRPr="001F4A89">
        <w:rPr>
          <w:rFonts w:ascii="Arial" w:hAnsi="Arial" w:cs="Arial"/>
        </w:rPr>
        <w:t xml:space="preserve"> expenses.</w:t>
      </w:r>
      <w:r w:rsidR="001F4A89">
        <w:rPr>
          <w:rFonts w:ascii="Arial" w:hAnsi="Arial" w:cs="Arial"/>
        </w:rPr>
        <w:t xml:space="preserve"> E</w:t>
      </w:r>
      <w:r w:rsidR="001F4A89" w:rsidRPr="001F4A89">
        <w:rPr>
          <w:rFonts w:ascii="Arial" w:hAnsi="Arial" w:cs="Arial"/>
        </w:rPr>
        <w:t>xamining both the IRSD and IRSAD indexe</w:t>
      </w:r>
      <w:r w:rsidR="001F4A89">
        <w:rPr>
          <w:rFonts w:ascii="Arial" w:hAnsi="Arial" w:cs="Arial"/>
        </w:rPr>
        <w:t>s demonstrated that</w:t>
      </w:r>
      <w:r w:rsidR="001F4A89" w:rsidRPr="001F4A89">
        <w:rPr>
          <w:rFonts w:ascii="Arial" w:hAnsi="Arial" w:cs="Arial"/>
        </w:rPr>
        <w:t xml:space="preserve"> the LGA experiences levels of disadvantage higher than the Regional NSW average</w:t>
      </w:r>
      <w:r w:rsidR="005F2C74" w:rsidRPr="001F4A89">
        <w:rPr>
          <w:rFonts w:ascii="Arial" w:hAnsi="Arial" w:cs="Arial"/>
        </w:rPr>
        <w:t xml:space="preserve"> There is a small portion of properties in Tumut where mortgage repayments are 30% of weekly income indicating mortgage stress. Batlow also has </w:t>
      </w:r>
      <w:r w:rsidR="00822539" w:rsidRPr="001F4A89">
        <w:rPr>
          <w:rFonts w:ascii="Arial" w:hAnsi="Arial" w:cs="Arial"/>
        </w:rPr>
        <w:t xml:space="preserve">the highest proportion of </w:t>
      </w:r>
      <w:proofErr w:type="gramStart"/>
      <w:r w:rsidR="00822539" w:rsidRPr="001F4A89">
        <w:rPr>
          <w:rFonts w:ascii="Arial" w:hAnsi="Arial" w:cs="Arial"/>
        </w:rPr>
        <w:t xml:space="preserve">low </w:t>
      </w:r>
      <w:r w:rsidR="005F2C74" w:rsidRPr="001F4A89">
        <w:rPr>
          <w:rFonts w:ascii="Arial" w:hAnsi="Arial" w:cs="Arial"/>
        </w:rPr>
        <w:t>income</w:t>
      </w:r>
      <w:proofErr w:type="gramEnd"/>
      <w:r w:rsidR="005F2C74" w:rsidRPr="001F4A89">
        <w:rPr>
          <w:rFonts w:ascii="Arial" w:hAnsi="Arial" w:cs="Arial"/>
        </w:rPr>
        <w:t xml:space="preserve"> earners </w:t>
      </w:r>
      <w:r w:rsidR="00822539" w:rsidRPr="001F4A89">
        <w:rPr>
          <w:rFonts w:ascii="Arial" w:hAnsi="Arial" w:cs="Arial"/>
        </w:rPr>
        <w:t xml:space="preserve">in the LGA who are also experiencing a certain degree of housing stress. It should be noted that these levels are below the regional NSW and Australia percentiles. </w:t>
      </w:r>
    </w:p>
    <w:p w14:paraId="4C8A84B8" w14:textId="77777777" w:rsidR="003A5985" w:rsidRPr="002E0D67" w:rsidRDefault="003A5985" w:rsidP="007B2BED">
      <w:pPr>
        <w:shd w:val="clear" w:color="auto" w:fill="FFFFFF" w:themeFill="background1"/>
        <w:rPr>
          <w:rFonts w:ascii="Arial" w:hAnsi="Arial" w:cs="Arial"/>
          <w:color w:val="404142"/>
        </w:rPr>
      </w:pPr>
    </w:p>
    <w:sectPr w:rsidR="003A5985" w:rsidRPr="002E0D67" w:rsidSect="00B74B74">
      <w:footerReference w:type="default" r:id="rId18"/>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583A" w14:textId="77777777" w:rsidR="00B74B74" w:rsidRDefault="00B74B74" w:rsidP="00830E52">
      <w:pPr>
        <w:spacing w:after="0" w:line="240" w:lineRule="auto"/>
      </w:pPr>
      <w:r>
        <w:separator/>
      </w:r>
    </w:p>
  </w:endnote>
  <w:endnote w:type="continuationSeparator" w:id="0">
    <w:p w14:paraId="78F5C390" w14:textId="77777777" w:rsidR="00B74B74" w:rsidRDefault="00B74B74" w:rsidP="0083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92332"/>
      <w:docPartObj>
        <w:docPartGallery w:val="Page Numbers (Bottom of Page)"/>
        <w:docPartUnique/>
      </w:docPartObj>
    </w:sdtPr>
    <w:sdtContent>
      <w:p w14:paraId="66A2151F" w14:textId="1E028C76" w:rsidR="00B642E1" w:rsidRDefault="00B642E1">
        <w:pPr>
          <w:pStyle w:val="Footer"/>
        </w:pPr>
        <w:r>
          <w:rPr>
            <w:noProof/>
          </w:rPr>
          <mc:AlternateContent>
            <mc:Choice Requires="wpg">
              <w:drawing>
                <wp:anchor distT="0" distB="0" distL="114300" distR="114300" simplePos="0" relativeHeight="251659264" behindDoc="0" locked="0" layoutInCell="1" allowOverlap="1" wp14:anchorId="34489399" wp14:editId="45DCB8B1">
                  <wp:simplePos x="0" y="0"/>
                  <wp:positionH relativeFrom="page">
                    <wp:align>center</wp:align>
                  </wp:positionH>
                  <wp:positionV relativeFrom="bottomMargin">
                    <wp:align>center</wp:align>
                  </wp:positionV>
                  <wp:extent cx="7753350" cy="190500"/>
                  <wp:effectExtent l="9525" t="9525" r="9525" b="0"/>
                  <wp:wrapNone/>
                  <wp:docPr id="159459770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6353475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16F8" w14:textId="77777777" w:rsidR="00B642E1" w:rsidRDefault="00B642E1">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432866774" name="Group 31"/>
                          <wpg:cNvGrpSpPr>
                            <a:grpSpLocks/>
                          </wpg:cNvGrpSpPr>
                          <wpg:grpSpPr bwMode="auto">
                            <a:xfrm flipH="1">
                              <a:off x="0" y="14970"/>
                              <a:ext cx="12255" cy="230"/>
                              <a:chOff x="-8" y="14978"/>
                              <a:chExt cx="12255" cy="230"/>
                            </a:xfrm>
                          </wpg:grpSpPr>
                          <wps:wsp>
                            <wps:cNvPr id="154086422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144236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4489399"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DhXWtckAMAAJg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" filled="f" stroked="f">
                    <v:textbox inset="0,0,0,0">
                      <w:txbxContent>
                        <w:p w14:paraId="5F5316F8" w14:textId="77777777" w:rsidR="00B642E1" w:rsidRDefault="00B642E1">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8C49" w14:textId="77777777" w:rsidR="00B74B74" w:rsidRDefault="00B74B74" w:rsidP="00830E52">
      <w:pPr>
        <w:spacing w:after="0" w:line="240" w:lineRule="auto"/>
      </w:pPr>
      <w:r>
        <w:separator/>
      </w:r>
    </w:p>
  </w:footnote>
  <w:footnote w:type="continuationSeparator" w:id="0">
    <w:p w14:paraId="7C16EB29" w14:textId="77777777" w:rsidR="00B74B74" w:rsidRDefault="00B74B74" w:rsidP="00830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EB7"/>
    <w:multiLevelType w:val="multilevel"/>
    <w:tmpl w:val="6964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E0B76"/>
    <w:multiLevelType w:val="hybridMultilevel"/>
    <w:tmpl w:val="D2E2B1A0"/>
    <w:lvl w:ilvl="0" w:tplc="DB225612">
      <w:numFmt w:val="bullet"/>
      <w:lvlText w:val=""/>
      <w:lvlJc w:val="left"/>
      <w:pPr>
        <w:ind w:left="1852" w:hanging="360"/>
      </w:pPr>
      <w:rPr>
        <w:rFonts w:ascii="Symbol" w:eastAsia="Symbol" w:hAnsi="Symbol" w:cs="Symbol" w:hint="default"/>
        <w:b w:val="0"/>
        <w:bCs w:val="0"/>
        <w:i w:val="0"/>
        <w:iCs w:val="0"/>
        <w:color w:val="9DBD3A"/>
        <w:spacing w:val="0"/>
        <w:w w:val="100"/>
        <w:sz w:val="18"/>
        <w:szCs w:val="18"/>
        <w:lang w:val="en-US" w:eastAsia="en-US" w:bidi="ar-SA"/>
      </w:rPr>
    </w:lvl>
    <w:lvl w:ilvl="1" w:tplc="8B3269B0">
      <w:numFmt w:val="bullet"/>
      <w:lvlText w:val="–"/>
      <w:lvlJc w:val="left"/>
      <w:pPr>
        <w:ind w:left="2625" w:hanging="361"/>
      </w:pPr>
      <w:rPr>
        <w:rFonts w:ascii="Arial Narrow" w:eastAsia="Arial Narrow" w:hAnsi="Arial Narrow" w:cs="Arial Narrow" w:hint="default"/>
        <w:spacing w:val="0"/>
        <w:w w:val="100"/>
        <w:lang w:val="en-US" w:eastAsia="en-US" w:bidi="ar-SA"/>
      </w:rPr>
    </w:lvl>
    <w:lvl w:ilvl="2" w:tplc="E94811C0">
      <w:numFmt w:val="bullet"/>
      <w:lvlText w:val="•"/>
      <w:lvlJc w:val="left"/>
      <w:pPr>
        <w:ind w:left="2620" w:hanging="361"/>
      </w:pPr>
      <w:rPr>
        <w:rFonts w:hint="default"/>
        <w:lang w:val="en-US" w:eastAsia="en-US" w:bidi="ar-SA"/>
      </w:rPr>
    </w:lvl>
    <w:lvl w:ilvl="3" w:tplc="3C7CEF4E">
      <w:numFmt w:val="bullet"/>
      <w:lvlText w:val="•"/>
      <w:lvlJc w:val="left"/>
      <w:pPr>
        <w:ind w:left="3779" w:hanging="361"/>
      </w:pPr>
      <w:rPr>
        <w:rFonts w:hint="default"/>
        <w:lang w:val="en-US" w:eastAsia="en-US" w:bidi="ar-SA"/>
      </w:rPr>
    </w:lvl>
    <w:lvl w:ilvl="4" w:tplc="15C23896">
      <w:numFmt w:val="bullet"/>
      <w:lvlText w:val="•"/>
      <w:lvlJc w:val="left"/>
      <w:pPr>
        <w:ind w:left="4939" w:hanging="361"/>
      </w:pPr>
      <w:rPr>
        <w:rFonts w:hint="default"/>
        <w:lang w:val="en-US" w:eastAsia="en-US" w:bidi="ar-SA"/>
      </w:rPr>
    </w:lvl>
    <w:lvl w:ilvl="5" w:tplc="2EE217C0">
      <w:numFmt w:val="bullet"/>
      <w:lvlText w:val="•"/>
      <w:lvlJc w:val="left"/>
      <w:pPr>
        <w:ind w:left="6099" w:hanging="361"/>
      </w:pPr>
      <w:rPr>
        <w:rFonts w:hint="default"/>
        <w:lang w:val="en-US" w:eastAsia="en-US" w:bidi="ar-SA"/>
      </w:rPr>
    </w:lvl>
    <w:lvl w:ilvl="6" w:tplc="87F8CD42">
      <w:numFmt w:val="bullet"/>
      <w:lvlText w:val="•"/>
      <w:lvlJc w:val="left"/>
      <w:pPr>
        <w:ind w:left="7259" w:hanging="361"/>
      </w:pPr>
      <w:rPr>
        <w:rFonts w:hint="default"/>
        <w:lang w:val="en-US" w:eastAsia="en-US" w:bidi="ar-SA"/>
      </w:rPr>
    </w:lvl>
    <w:lvl w:ilvl="7" w:tplc="1570D854">
      <w:numFmt w:val="bullet"/>
      <w:lvlText w:val="•"/>
      <w:lvlJc w:val="left"/>
      <w:pPr>
        <w:ind w:left="8419" w:hanging="361"/>
      </w:pPr>
      <w:rPr>
        <w:rFonts w:hint="default"/>
        <w:lang w:val="en-US" w:eastAsia="en-US" w:bidi="ar-SA"/>
      </w:rPr>
    </w:lvl>
    <w:lvl w:ilvl="8" w:tplc="CB7CDAC2">
      <w:numFmt w:val="bullet"/>
      <w:lvlText w:val="•"/>
      <w:lvlJc w:val="left"/>
      <w:pPr>
        <w:ind w:left="9579" w:hanging="361"/>
      </w:pPr>
      <w:rPr>
        <w:rFonts w:hint="default"/>
        <w:lang w:val="en-US" w:eastAsia="en-US" w:bidi="ar-SA"/>
      </w:rPr>
    </w:lvl>
  </w:abstractNum>
  <w:abstractNum w:abstractNumId="2" w15:restartNumberingAfterBreak="0">
    <w:nsid w:val="0AC56BE0"/>
    <w:multiLevelType w:val="hybridMultilevel"/>
    <w:tmpl w:val="EEAE3A12"/>
    <w:lvl w:ilvl="0" w:tplc="FFFFFFFF">
      <w:start w:val="1"/>
      <w:numFmt w:val="bullet"/>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2B7B22"/>
    <w:multiLevelType w:val="hybridMultilevel"/>
    <w:tmpl w:val="2466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75430"/>
    <w:multiLevelType w:val="hybridMultilevel"/>
    <w:tmpl w:val="F7145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814F0"/>
    <w:multiLevelType w:val="hybridMultilevel"/>
    <w:tmpl w:val="04660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A5627B"/>
    <w:multiLevelType w:val="hybridMultilevel"/>
    <w:tmpl w:val="A672E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2E1CFE"/>
    <w:multiLevelType w:val="hybridMultilevel"/>
    <w:tmpl w:val="6FB612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003B1D"/>
    <w:multiLevelType w:val="hybridMultilevel"/>
    <w:tmpl w:val="0060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907A1A"/>
    <w:multiLevelType w:val="hybridMultilevel"/>
    <w:tmpl w:val="B9A8069A"/>
    <w:lvl w:ilvl="0" w:tplc="947CF0E6">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C6119"/>
    <w:multiLevelType w:val="multilevel"/>
    <w:tmpl w:val="92D0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6E5060"/>
    <w:multiLevelType w:val="hybridMultilevel"/>
    <w:tmpl w:val="8CDEB00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 w15:restartNumberingAfterBreak="0">
    <w:nsid w:val="6AD952D1"/>
    <w:multiLevelType w:val="hybridMultilevel"/>
    <w:tmpl w:val="CA98D7A6"/>
    <w:lvl w:ilvl="0" w:tplc="FFFFFFFF">
      <w:start w:val="1"/>
      <w:numFmt w:val="bullet"/>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8D5C53"/>
    <w:multiLevelType w:val="hybridMultilevel"/>
    <w:tmpl w:val="44C0E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EB43E1"/>
    <w:multiLevelType w:val="hybridMultilevel"/>
    <w:tmpl w:val="85022CAC"/>
    <w:lvl w:ilvl="0" w:tplc="0C090001">
      <w:start w:val="1"/>
      <w:numFmt w:val="bullet"/>
      <w:lvlText w:val=""/>
      <w:lvlJc w:val="left"/>
      <w:pPr>
        <w:ind w:left="1852" w:hanging="360"/>
      </w:pPr>
      <w:rPr>
        <w:rFonts w:ascii="Symbol" w:hAnsi="Symbol" w:hint="default"/>
      </w:rPr>
    </w:lvl>
    <w:lvl w:ilvl="1" w:tplc="0C090003" w:tentative="1">
      <w:start w:val="1"/>
      <w:numFmt w:val="bullet"/>
      <w:lvlText w:val="o"/>
      <w:lvlJc w:val="left"/>
      <w:pPr>
        <w:ind w:left="2572" w:hanging="360"/>
      </w:pPr>
      <w:rPr>
        <w:rFonts w:ascii="Courier New" w:hAnsi="Courier New" w:cs="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cs="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cs="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15" w15:restartNumberingAfterBreak="0">
    <w:nsid w:val="777815FC"/>
    <w:multiLevelType w:val="hybridMultilevel"/>
    <w:tmpl w:val="33D26694"/>
    <w:lvl w:ilvl="0" w:tplc="CE10D56E">
      <w:numFmt w:val="bullet"/>
      <w:lvlText w:val=""/>
      <w:lvlJc w:val="left"/>
      <w:pPr>
        <w:ind w:left="1852" w:hanging="360"/>
      </w:pPr>
      <w:rPr>
        <w:rFonts w:ascii="Symbol" w:eastAsia="Symbol" w:hAnsi="Symbol" w:cs="Symbol" w:hint="default"/>
        <w:b w:val="0"/>
        <w:bCs w:val="0"/>
        <w:i w:val="0"/>
        <w:iCs w:val="0"/>
        <w:color w:val="9DBD3A"/>
        <w:spacing w:val="0"/>
        <w:w w:val="100"/>
        <w:sz w:val="18"/>
        <w:szCs w:val="18"/>
        <w:lang w:val="en-US" w:eastAsia="en-US" w:bidi="ar-SA"/>
      </w:rPr>
    </w:lvl>
    <w:lvl w:ilvl="1" w:tplc="91E6C688">
      <w:numFmt w:val="bullet"/>
      <w:lvlText w:val="–"/>
      <w:lvlJc w:val="left"/>
      <w:pPr>
        <w:ind w:left="2625" w:hanging="361"/>
      </w:pPr>
      <w:rPr>
        <w:rFonts w:ascii="Arial Narrow" w:eastAsia="Arial Narrow" w:hAnsi="Arial Narrow" w:cs="Arial Narrow" w:hint="default"/>
        <w:spacing w:val="0"/>
        <w:w w:val="100"/>
        <w:lang w:val="en-US" w:eastAsia="en-US" w:bidi="ar-SA"/>
      </w:rPr>
    </w:lvl>
    <w:lvl w:ilvl="2" w:tplc="DDE40678">
      <w:numFmt w:val="bullet"/>
      <w:lvlText w:val="•"/>
      <w:lvlJc w:val="left"/>
      <w:pPr>
        <w:ind w:left="2620" w:hanging="361"/>
      </w:pPr>
      <w:rPr>
        <w:rFonts w:hint="default"/>
        <w:lang w:val="en-US" w:eastAsia="en-US" w:bidi="ar-SA"/>
      </w:rPr>
    </w:lvl>
    <w:lvl w:ilvl="3" w:tplc="8D6CEE78">
      <w:numFmt w:val="bullet"/>
      <w:lvlText w:val="•"/>
      <w:lvlJc w:val="left"/>
      <w:pPr>
        <w:ind w:left="3779" w:hanging="361"/>
      </w:pPr>
      <w:rPr>
        <w:rFonts w:hint="default"/>
        <w:lang w:val="en-US" w:eastAsia="en-US" w:bidi="ar-SA"/>
      </w:rPr>
    </w:lvl>
    <w:lvl w:ilvl="4" w:tplc="1F56B0E8">
      <w:numFmt w:val="bullet"/>
      <w:lvlText w:val="•"/>
      <w:lvlJc w:val="left"/>
      <w:pPr>
        <w:ind w:left="4939" w:hanging="361"/>
      </w:pPr>
      <w:rPr>
        <w:rFonts w:hint="default"/>
        <w:lang w:val="en-US" w:eastAsia="en-US" w:bidi="ar-SA"/>
      </w:rPr>
    </w:lvl>
    <w:lvl w:ilvl="5" w:tplc="45ECE85C">
      <w:numFmt w:val="bullet"/>
      <w:lvlText w:val="•"/>
      <w:lvlJc w:val="left"/>
      <w:pPr>
        <w:ind w:left="6099" w:hanging="361"/>
      </w:pPr>
      <w:rPr>
        <w:rFonts w:hint="default"/>
        <w:lang w:val="en-US" w:eastAsia="en-US" w:bidi="ar-SA"/>
      </w:rPr>
    </w:lvl>
    <w:lvl w:ilvl="6" w:tplc="CC5EBC66">
      <w:numFmt w:val="bullet"/>
      <w:lvlText w:val="•"/>
      <w:lvlJc w:val="left"/>
      <w:pPr>
        <w:ind w:left="7259" w:hanging="361"/>
      </w:pPr>
      <w:rPr>
        <w:rFonts w:hint="default"/>
        <w:lang w:val="en-US" w:eastAsia="en-US" w:bidi="ar-SA"/>
      </w:rPr>
    </w:lvl>
    <w:lvl w:ilvl="7" w:tplc="0644C1E0">
      <w:numFmt w:val="bullet"/>
      <w:lvlText w:val="•"/>
      <w:lvlJc w:val="left"/>
      <w:pPr>
        <w:ind w:left="8419" w:hanging="361"/>
      </w:pPr>
      <w:rPr>
        <w:rFonts w:hint="default"/>
        <w:lang w:val="en-US" w:eastAsia="en-US" w:bidi="ar-SA"/>
      </w:rPr>
    </w:lvl>
    <w:lvl w:ilvl="8" w:tplc="4B88122A">
      <w:numFmt w:val="bullet"/>
      <w:lvlText w:val="•"/>
      <w:lvlJc w:val="left"/>
      <w:pPr>
        <w:ind w:left="9579" w:hanging="361"/>
      </w:pPr>
      <w:rPr>
        <w:rFonts w:hint="default"/>
        <w:lang w:val="en-US" w:eastAsia="en-US" w:bidi="ar-SA"/>
      </w:rPr>
    </w:lvl>
  </w:abstractNum>
  <w:num w:numId="1" w16cid:durableId="131406355">
    <w:abstractNumId w:val="14"/>
  </w:num>
  <w:num w:numId="2" w16cid:durableId="1231117208">
    <w:abstractNumId w:val="6"/>
  </w:num>
  <w:num w:numId="3" w16cid:durableId="740368803">
    <w:abstractNumId w:val="7"/>
  </w:num>
  <w:num w:numId="4" w16cid:durableId="1595749745">
    <w:abstractNumId w:val="12"/>
  </w:num>
  <w:num w:numId="5" w16cid:durableId="1229993149">
    <w:abstractNumId w:val="2"/>
  </w:num>
  <w:num w:numId="6" w16cid:durableId="884870091">
    <w:abstractNumId w:val="15"/>
  </w:num>
  <w:num w:numId="7" w16cid:durableId="232936105">
    <w:abstractNumId w:val="11"/>
  </w:num>
  <w:num w:numId="8" w16cid:durableId="369383376">
    <w:abstractNumId w:val="3"/>
  </w:num>
  <w:num w:numId="9" w16cid:durableId="1961915597">
    <w:abstractNumId w:val="8"/>
  </w:num>
  <w:num w:numId="10" w16cid:durableId="288364236">
    <w:abstractNumId w:val="0"/>
  </w:num>
  <w:num w:numId="11" w16cid:durableId="1919442006">
    <w:abstractNumId w:val="10"/>
  </w:num>
  <w:num w:numId="12" w16cid:durableId="41098417">
    <w:abstractNumId w:val="1"/>
  </w:num>
  <w:num w:numId="13" w16cid:durableId="365329644">
    <w:abstractNumId w:val="9"/>
  </w:num>
  <w:num w:numId="14" w16cid:durableId="196968006">
    <w:abstractNumId w:val="4"/>
  </w:num>
  <w:num w:numId="15" w16cid:durableId="1575972169">
    <w:abstractNumId w:val="13"/>
  </w:num>
  <w:num w:numId="16" w16cid:durableId="1575361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52"/>
    <w:rsid w:val="00003342"/>
    <w:rsid w:val="00007662"/>
    <w:rsid w:val="00013AD0"/>
    <w:rsid w:val="00013CC7"/>
    <w:rsid w:val="0002513E"/>
    <w:rsid w:val="00025260"/>
    <w:rsid w:val="000341FC"/>
    <w:rsid w:val="00035379"/>
    <w:rsid w:val="00050F05"/>
    <w:rsid w:val="00060FAD"/>
    <w:rsid w:val="00064328"/>
    <w:rsid w:val="00066347"/>
    <w:rsid w:val="000765B1"/>
    <w:rsid w:val="000938B7"/>
    <w:rsid w:val="000A61DC"/>
    <w:rsid w:val="000B0C6F"/>
    <w:rsid w:val="000B1042"/>
    <w:rsid w:val="000B7664"/>
    <w:rsid w:val="000D06C9"/>
    <w:rsid w:val="000D3C9C"/>
    <w:rsid w:val="000D61D1"/>
    <w:rsid w:val="000E3A77"/>
    <w:rsid w:val="000F0869"/>
    <w:rsid w:val="000F3D85"/>
    <w:rsid w:val="000F6B1C"/>
    <w:rsid w:val="001012FC"/>
    <w:rsid w:val="00140FCF"/>
    <w:rsid w:val="001415E6"/>
    <w:rsid w:val="00161940"/>
    <w:rsid w:val="00181A2F"/>
    <w:rsid w:val="00186F9E"/>
    <w:rsid w:val="001908B5"/>
    <w:rsid w:val="001918B0"/>
    <w:rsid w:val="00192394"/>
    <w:rsid w:val="001B797B"/>
    <w:rsid w:val="001B7AE3"/>
    <w:rsid w:val="001D591B"/>
    <w:rsid w:val="001D6580"/>
    <w:rsid w:val="001E5B3E"/>
    <w:rsid w:val="001F10D7"/>
    <w:rsid w:val="001F4A89"/>
    <w:rsid w:val="001F4F7D"/>
    <w:rsid w:val="0020052D"/>
    <w:rsid w:val="00202FF9"/>
    <w:rsid w:val="0020475F"/>
    <w:rsid w:val="00206471"/>
    <w:rsid w:val="00211519"/>
    <w:rsid w:val="00217C6B"/>
    <w:rsid w:val="00221CBA"/>
    <w:rsid w:val="00224BA5"/>
    <w:rsid w:val="00224C1B"/>
    <w:rsid w:val="002375E0"/>
    <w:rsid w:val="00245AF2"/>
    <w:rsid w:val="0025149C"/>
    <w:rsid w:val="002634DD"/>
    <w:rsid w:val="00280D40"/>
    <w:rsid w:val="00292F45"/>
    <w:rsid w:val="002B2DA0"/>
    <w:rsid w:val="002C656F"/>
    <w:rsid w:val="002E0020"/>
    <w:rsid w:val="002E0D67"/>
    <w:rsid w:val="00325AD5"/>
    <w:rsid w:val="003308D1"/>
    <w:rsid w:val="00335673"/>
    <w:rsid w:val="003467EE"/>
    <w:rsid w:val="00352FE7"/>
    <w:rsid w:val="00356F6C"/>
    <w:rsid w:val="003632A5"/>
    <w:rsid w:val="00367118"/>
    <w:rsid w:val="0038093B"/>
    <w:rsid w:val="00397521"/>
    <w:rsid w:val="003A5985"/>
    <w:rsid w:val="003B21CE"/>
    <w:rsid w:val="003B2AB5"/>
    <w:rsid w:val="003B51B7"/>
    <w:rsid w:val="003C1F5E"/>
    <w:rsid w:val="003C350C"/>
    <w:rsid w:val="003C5A8F"/>
    <w:rsid w:val="003C5E7A"/>
    <w:rsid w:val="003D6CFD"/>
    <w:rsid w:val="003E00F2"/>
    <w:rsid w:val="003E127F"/>
    <w:rsid w:val="003E15AE"/>
    <w:rsid w:val="003F152A"/>
    <w:rsid w:val="003F1D63"/>
    <w:rsid w:val="00410065"/>
    <w:rsid w:val="00417306"/>
    <w:rsid w:val="00417460"/>
    <w:rsid w:val="00426BB1"/>
    <w:rsid w:val="00427CA1"/>
    <w:rsid w:val="004459AC"/>
    <w:rsid w:val="004469E1"/>
    <w:rsid w:val="00460A00"/>
    <w:rsid w:val="00464118"/>
    <w:rsid w:val="0047306B"/>
    <w:rsid w:val="00474D41"/>
    <w:rsid w:val="00484F60"/>
    <w:rsid w:val="0049745E"/>
    <w:rsid w:val="004D49A7"/>
    <w:rsid w:val="004D5C6E"/>
    <w:rsid w:val="004E27FD"/>
    <w:rsid w:val="004E55F6"/>
    <w:rsid w:val="004E6CAF"/>
    <w:rsid w:val="00503FE4"/>
    <w:rsid w:val="00513444"/>
    <w:rsid w:val="00541510"/>
    <w:rsid w:val="0054728C"/>
    <w:rsid w:val="00547436"/>
    <w:rsid w:val="005500A5"/>
    <w:rsid w:val="00562FAF"/>
    <w:rsid w:val="00573AA1"/>
    <w:rsid w:val="00577C01"/>
    <w:rsid w:val="00586D9B"/>
    <w:rsid w:val="00595205"/>
    <w:rsid w:val="00595637"/>
    <w:rsid w:val="005A60A4"/>
    <w:rsid w:val="005C0138"/>
    <w:rsid w:val="005C0795"/>
    <w:rsid w:val="005C3A4C"/>
    <w:rsid w:val="005E4DE9"/>
    <w:rsid w:val="005E6CBF"/>
    <w:rsid w:val="005F2C74"/>
    <w:rsid w:val="005F72D3"/>
    <w:rsid w:val="00624FA8"/>
    <w:rsid w:val="006406DC"/>
    <w:rsid w:val="00652907"/>
    <w:rsid w:val="00666069"/>
    <w:rsid w:val="0066779B"/>
    <w:rsid w:val="0067205C"/>
    <w:rsid w:val="006914D9"/>
    <w:rsid w:val="00692485"/>
    <w:rsid w:val="00692D28"/>
    <w:rsid w:val="006A62B0"/>
    <w:rsid w:val="006B09F7"/>
    <w:rsid w:val="006B1065"/>
    <w:rsid w:val="006C0CB3"/>
    <w:rsid w:val="006C10FE"/>
    <w:rsid w:val="006C3E68"/>
    <w:rsid w:val="006D1300"/>
    <w:rsid w:val="006F70D9"/>
    <w:rsid w:val="00707059"/>
    <w:rsid w:val="00722A4D"/>
    <w:rsid w:val="007258DE"/>
    <w:rsid w:val="00746A58"/>
    <w:rsid w:val="00754FB6"/>
    <w:rsid w:val="007617BD"/>
    <w:rsid w:val="007621E6"/>
    <w:rsid w:val="0077099B"/>
    <w:rsid w:val="007B2BED"/>
    <w:rsid w:val="007B320D"/>
    <w:rsid w:val="007C742B"/>
    <w:rsid w:val="007D1EAF"/>
    <w:rsid w:val="007D27C5"/>
    <w:rsid w:val="007E22D5"/>
    <w:rsid w:val="0080059E"/>
    <w:rsid w:val="008029C0"/>
    <w:rsid w:val="008036AC"/>
    <w:rsid w:val="00822539"/>
    <w:rsid w:val="00830E52"/>
    <w:rsid w:val="00845894"/>
    <w:rsid w:val="00851A0A"/>
    <w:rsid w:val="0085333D"/>
    <w:rsid w:val="0085425D"/>
    <w:rsid w:val="00863710"/>
    <w:rsid w:val="00874AD3"/>
    <w:rsid w:val="008756F0"/>
    <w:rsid w:val="008812E7"/>
    <w:rsid w:val="00884C7A"/>
    <w:rsid w:val="008869EB"/>
    <w:rsid w:val="00891892"/>
    <w:rsid w:val="008A435C"/>
    <w:rsid w:val="008A7D47"/>
    <w:rsid w:val="008C2748"/>
    <w:rsid w:val="008C4B60"/>
    <w:rsid w:val="008D35FF"/>
    <w:rsid w:val="008F392B"/>
    <w:rsid w:val="00914172"/>
    <w:rsid w:val="009207E5"/>
    <w:rsid w:val="00924689"/>
    <w:rsid w:val="00924DC4"/>
    <w:rsid w:val="00930CAB"/>
    <w:rsid w:val="00932B6C"/>
    <w:rsid w:val="00934C4B"/>
    <w:rsid w:val="00947434"/>
    <w:rsid w:val="00961FBE"/>
    <w:rsid w:val="00964E7A"/>
    <w:rsid w:val="00966B53"/>
    <w:rsid w:val="009677A8"/>
    <w:rsid w:val="00973AA7"/>
    <w:rsid w:val="0098161E"/>
    <w:rsid w:val="00983FFD"/>
    <w:rsid w:val="009958AC"/>
    <w:rsid w:val="009961FF"/>
    <w:rsid w:val="009A1937"/>
    <w:rsid w:val="009B6CC0"/>
    <w:rsid w:val="009D525A"/>
    <w:rsid w:val="009D710D"/>
    <w:rsid w:val="009E2A9F"/>
    <w:rsid w:val="009E5ABF"/>
    <w:rsid w:val="009E7A49"/>
    <w:rsid w:val="009E7FBF"/>
    <w:rsid w:val="009F515C"/>
    <w:rsid w:val="00A116E8"/>
    <w:rsid w:val="00A244F7"/>
    <w:rsid w:val="00A318E4"/>
    <w:rsid w:val="00A43729"/>
    <w:rsid w:val="00A45E4E"/>
    <w:rsid w:val="00A47E97"/>
    <w:rsid w:val="00A632F9"/>
    <w:rsid w:val="00A720C3"/>
    <w:rsid w:val="00A726EC"/>
    <w:rsid w:val="00A8144B"/>
    <w:rsid w:val="00A83480"/>
    <w:rsid w:val="00A926A3"/>
    <w:rsid w:val="00A9344D"/>
    <w:rsid w:val="00AC1797"/>
    <w:rsid w:val="00AD5171"/>
    <w:rsid w:val="00AF2CAF"/>
    <w:rsid w:val="00B1488D"/>
    <w:rsid w:val="00B22200"/>
    <w:rsid w:val="00B264A7"/>
    <w:rsid w:val="00B30F19"/>
    <w:rsid w:val="00B43D3E"/>
    <w:rsid w:val="00B510E7"/>
    <w:rsid w:val="00B57186"/>
    <w:rsid w:val="00B60612"/>
    <w:rsid w:val="00B61A7C"/>
    <w:rsid w:val="00B63FB4"/>
    <w:rsid w:val="00B642E1"/>
    <w:rsid w:val="00B64CCE"/>
    <w:rsid w:val="00B7055A"/>
    <w:rsid w:val="00B74B74"/>
    <w:rsid w:val="00B9073E"/>
    <w:rsid w:val="00B9576B"/>
    <w:rsid w:val="00B96B25"/>
    <w:rsid w:val="00BB1999"/>
    <w:rsid w:val="00BB244C"/>
    <w:rsid w:val="00BE2810"/>
    <w:rsid w:val="00BF6F45"/>
    <w:rsid w:val="00C11AA7"/>
    <w:rsid w:val="00C12E7A"/>
    <w:rsid w:val="00C21AF5"/>
    <w:rsid w:val="00C30544"/>
    <w:rsid w:val="00C353FA"/>
    <w:rsid w:val="00C35C3F"/>
    <w:rsid w:val="00C370BF"/>
    <w:rsid w:val="00C500E6"/>
    <w:rsid w:val="00C60B26"/>
    <w:rsid w:val="00C63224"/>
    <w:rsid w:val="00C6381B"/>
    <w:rsid w:val="00C922C2"/>
    <w:rsid w:val="00CA0563"/>
    <w:rsid w:val="00CA4F69"/>
    <w:rsid w:val="00CB15A6"/>
    <w:rsid w:val="00CC24DB"/>
    <w:rsid w:val="00CD3CFA"/>
    <w:rsid w:val="00D006B6"/>
    <w:rsid w:val="00D02F8D"/>
    <w:rsid w:val="00D05A2E"/>
    <w:rsid w:val="00D1097A"/>
    <w:rsid w:val="00D22300"/>
    <w:rsid w:val="00D23223"/>
    <w:rsid w:val="00D327C9"/>
    <w:rsid w:val="00D4343D"/>
    <w:rsid w:val="00D56F90"/>
    <w:rsid w:val="00D6458B"/>
    <w:rsid w:val="00D64DFF"/>
    <w:rsid w:val="00D6559D"/>
    <w:rsid w:val="00D76A2E"/>
    <w:rsid w:val="00D8293D"/>
    <w:rsid w:val="00D96C80"/>
    <w:rsid w:val="00DA7873"/>
    <w:rsid w:val="00DB30D2"/>
    <w:rsid w:val="00DB34EF"/>
    <w:rsid w:val="00DC6ED9"/>
    <w:rsid w:val="00DD7FB2"/>
    <w:rsid w:val="00DF3F82"/>
    <w:rsid w:val="00E3285F"/>
    <w:rsid w:val="00E36015"/>
    <w:rsid w:val="00E43CB7"/>
    <w:rsid w:val="00E54778"/>
    <w:rsid w:val="00E63CEC"/>
    <w:rsid w:val="00E91127"/>
    <w:rsid w:val="00E96FC6"/>
    <w:rsid w:val="00E970A0"/>
    <w:rsid w:val="00E9766A"/>
    <w:rsid w:val="00EB1160"/>
    <w:rsid w:val="00EB1D3C"/>
    <w:rsid w:val="00EB70F4"/>
    <w:rsid w:val="00EC75D9"/>
    <w:rsid w:val="00ED6061"/>
    <w:rsid w:val="00EE01F3"/>
    <w:rsid w:val="00EE674D"/>
    <w:rsid w:val="00EE6FB9"/>
    <w:rsid w:val="00EF1D0F"/>
    <w:rsid w:val="00F31774"/>
    <w:rsid w:val="00F42CCC"/>
    <w:rsid w:val="00F63E34"/>
    <w:rsid w:val="00F843F0"/>
    <w:rsid w:val="00F92073"/>
    <w:rsid w:val="00FA1126"/>
    <w:rsid w:val="00FA5DA4"/>
    <w:rsid w:val="00FB43EE"/>
    <w:rsid w:val="00FD1C34"/>
    <w:rsid w:val="00FD617C"/>
    <w:rsid w:val="00FF3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C97D"/>
  <w15:chartTrackingRefBased/>
  <w15:docId w15:val="{C834CBF8-9FA2-46C5-A9FB-E507E05E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7C01"/>
    <w:pPr>
      <w:outlineLvl w:val="0"/>
    </w:pPr>
    <w:rPr>
      <w:rFonts w:ascii="Avenir Next LT Pro" w:hAnsi="Avenir Next LT Pro"/>
      <w:sz w:val="28"/>
      <w:szCs w:val="28"/>
    </w:rPr>
  </w:style>
  <w:style w:type="paragraph" w:styleId="Heading3">
    <w:name w:val="heading 3"/>
    <w:basedOn w:val="Normal"/>
    <w:next w:val="Normal"/>
    <w:link w:val="Heading3Char"/>
    <w:uiPriority w:val="9"/>
    <w:semiHidden/>
    <w:unhideWhenUsed/>
    <w:qFormat/>
    <w:rsid w:val="005472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E52"/>
  </w:style>
  <w:style w:type="paragraph" w:styleId="Footer">
    <w:name w:val="footer"/>
    <w:basedOn w:val="Normal"/>
    <w:link w:val="FooterChar"/>
    <w:uiPriority w:val="99"/>
    <w:unhideWhenUsed/>
    <w:rsid w:val="00830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E52"/>
  </w:style>
  <w:style w:type="paragraph" w:styleId="BodyText">
    <w:name w:val="Body Text"/>
    <w:basedOn w:val="Normal"/>
    <w:link w:val="BodyTextChar"/>
    <w:uiPriority w:val="1"/>
    <w:qFormat/>
    <w:rsid w:val="00830E52"/>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830E52"/>
    <w:rPr>
      <w:rFonts w:ascii="Calibri" w:eastAsia="Calibri" w:hAnsi="Calibri" w:cs="Calibri"/>
      <w:kern w:val="0"/>
      <w:lang w:val="en-US"/>
      <w14:ligatures w14:val="none"/>
    </w:rPr>
  </w:style>
  <w:style w:type="paragraph" w:customStyle="1" w:styleId="TableParagraph">
    <w:name w:val="Table Paragraph"/>
    <w:basedOn w:val="Normal"/>
    <w:uiPriority w:val="1"/>
    <w:qFormat/>
    <w:rsid w:val="00830E52"/>
    <w:pPr>
      <w:widowControl w:val="0"/>
      <w:autoSpaceDE w:val="0"/>
      <w:autoSpaceDN w:val="0"/>
      <w:spacing w:before="37" w:after="0" w:line="240" w:lineRule="auto"/>
      <w:jc w:val="center"/>
    </w:pPr>
    <w:rPr>
      <w:rFonts w:ascii="Calibri" w:eastAsia="Calibri" w:hAnsi="Calibri" w:cs="Calibri"/>
      <w:kern w:val="0"/>
      <w:lang w:val="en-US"/>
      <w14:ligatures w14:val="none"/>
    </w:rPr>
  </w:style>
  <w:style w:type="table" w:styleId="TableGrid">
    <w:name w:val="Table Grid"/>
    <w:basedOn w:val="TableNormal"/>
    <w:uiPriority w:val="39"/>
    <w:rsid w:val="0083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7C01"/>
    <w:rPr>
      <w:rFonts w:ascii="Avenir Next LT Pro" w:hAnsi="Avenir Next LT Pro"/>
      <w:sz w:val="28"/>
      <w:szCs w:val="28"/>
    </w:rPr>
  </w:style>
  <w:style w:type="paragraph" w:styleId="ListParagraph">
    <w:name w:val="List Paragraph"/>
    <w:basedOn w:val="Normal"/>
    <w:uiPriority w:val="1"/>
    <w:qFormat/>
    <w:rsid w:val="000F6B1C"/>
    <w:pPr>
      <w:widowControl w:val="0"/>
      <w:autoSpaceDE w:val="0"/>
      <w:autoSpaceDN w:val="0"/>
      <w:spacing w:before="120" w:after="0" w:line="240" w:lineRule="auto"/>
      <w:ind w:left="1852" w:hanging="360"/>
    </w:pPr>
    <w:rPr>
      <w:rFonts w:ascii="Calibri" w:eastAsia="Calibri" w:hAnsi="Calibri" w:cs="Calibri"/>
      <w:kern w:val="0"/>
      <w:lang w:val="en-US"/>
      <w14:ligatures w14:val="none"/>
    </w:rPr>
  </w:style>
  <w:style w:type="table" w:styleId="PlainTable5">
    <w:name w:val="Plain Table 5"/>
    <w:basedOn w:val="TableNormal"/>
    <w:uiPriority w:val="45"/>
    <w:rsid w:val="00B264A7"/>
    <w:pPr>
      <w:widowControl w:val="0"/>
      <w:autoSpaceDE w:val="0"/>
      <w:autoSpaceDN w:val="0"/>
      <w:spacing w:after="0" w:line="240" w:lineRule="auto"/>
    </w:pPr>
    <w:rPr>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A43729"/>
    <w:rPr>
      <w:color w:val="0000FF"/>
      <w:u w:val="single"/>
    </w:rPr>
  </w:style>
  <w:style w:type="character" w:customStyle="1" w:styleId="Heading3Char">
    <w:name w:val="Heading 3 Char"/>
    <w:basedOn w:val="DefaultParagraphFont"/>
    <w:link w:val="Heading3"/>
    <w:uiPriority w:val="9"/>
    <w:semiHidden/>
    <w:rsid w:val="0054728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4728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OCHeading">
    <w:name w:val="TOC Heading"/>
    <w:basedOn w:val="Heading1"/>
    <w:next w:val="Normal"/>
    <w:uiPriority w:val="39"/>
    <w:unhideWhenUsed/>
    <w:qFormat/>
    <w:rsid w:val="00577C01"/>
    <w:pPr>
      <w:keepNext/>
      <w:keepLines/>
      <w:spacing w:before="240" w:after="0"/>
      <w:outlineLvl w:val="9"/>
    </w:pPr>
    <w:rPr>
      <w:rFonts w:asciiTheme="majorHAnsi" w:eastAsiaTheme="majorEastAsia" w:hAnsiTheme="majorHAnsi" w:cstheme="majorBidi"/>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DD7FB2"/>
    <w:pPr>
      <w:tabs>
        <w:tab w:val="right" w:leader="dot" w:pos="9016"/>
      </w:tabs>
      <w:spacing w:after="100"/>
    </w:pPr>
  </w:style>
  <w:style w:type="paragraph" w:styleId="TOC3">
    <w:name w:val="toc 3"/>
    <w:basedOn w:val="Normal"/>
    <w:next w:val="Normal"/>
    <w:autoRedefine/>
    <w:uiPriority w:val="39"/>
    <w:unhideWhenUsed/>
    <w:rsid w:val="00577C01"/>
    <w:pPr>
      <w:spacing w:after="100"/>
      <w:ind w:left="440"/>
    </w:pPr>
  </w:style>
  <w:style w:type="character" w:styleId="FollowedHyperlink">
    <w:name w:val="FollowedHyperlink"/>
    <w:basedOn w:val="DefaultParagraphFont"/>
    <w:uiPriority w:val="99"/>
    <w:semiHidden/>
    <w:unhideWhenUsed/>
    <w:rsid w:val="00B61A7C"/>
    <w:rPr>
      <w:color w:val="954F72" w:themeColor="followedHyperlink"/>
      <w:u w:val="single"/>
    </w:rPr>
  </w:style>
  <w:style w:type="paragraph" w:styleId="Revision">
    <w:name w:val="Revision"/>
    <w:hidden/>
    <w:uiPriority w:val="99"/>
    <w:semiHidden/>
    <w:rsid w:val="00E36015"/>
    <w:pPr>
      <w:spacing w:after="0" w:line="240" w:lineRule="auto"/>
    </w:pPr>
  </w:style>
  <w:style w:type="character" w:styleId="CommentReference">
    <w:name w:val="annotation reference"/>
    <w:basedOn w:val="DefaultParagraphFont"/>
    <w:uiPriority w:val="99"/>
    <w:semiHidden/>
    <w:unhideWhenUsed/>
    <w:rsid w:val="000A61DC"/>
    <w:rPr>
      <w:sz w:val="16"/>
      <w:szCs w:val="16"/>
    </w:rPr>
  </w:style>
  <w:style w:type="paragraph" w:styleId="CommentText">
    <w:name w:val="annotation text"/>
    <w:basedOn w:val="Normal"/>
    <w:link w:val="CommentTextChar"/>
    <w:uiPriority w:val="99"/>
    <w:unhideWhenUsed/>
    <w:rsid w:val="000A61DC"/>
    <w:pPr>
      <w:spacing w:line="240" w:lineRule="auto"/>
    </w:pPr>
    <w:rPr>
      <w:sz w:val="20"/>
      <w:szCs w:val="20"/>
    </w:rPr>
  </w:style>
  <w:style w:type="character" w:customStyle="1" w:styleId="CommentTextChar">
    <w:name w:val="Comment Text Char"/>
    <w:basedOn w:val="DefaultParagraphFont"/>
    <w:link w:val="CommentText"/>
    <w:uiPriority w:val="99"/>
    <w:rsid w:val="000A61DC"/>
    <w:rPr>
      <w:sz w:val="20"/>
      <w:szCs w:val="20"/>
    </w:rPr>
  </w:style>
  <w:style w:type="paragraph" w:styleId="CommentSubject">
    <w:name w:val="annotation subject"/>
    <w:basedOn w:val="CommentText"/>
    <w:next w:val="CommentText"/>
    <w:link w:val="CommentSubjectChar"/>
    <w:uiPriority w:val="99"/>
    <w:semiHidden/>
    <w:unhideWhenUsed/>
    <w:rsid w:val="000A61DC"/>
    <w:rPr>
      <w:b/>
      <w:bCs/>
    </w:rPr>
  </w:style>
  <w:style w:type="character" w:customStyle="1" w:styleId="CommentSubjectChar">
    <w:name w:val="Comment Subject Char"/>
    <w:basedOn w:val="CommentTextChar"/>
    <w:link w:val="CommentSubject"/>
    <w:uiPriority w:val="99"/>
    <w:semiHidden/>
    <w:rsid w:val="000A6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3284">
      <w:bodyDiv w:val="1"/>
      <w:marLeft w:val="0"/>
      <w:marRight w:val="0"/>
      <w:marTop w:val="0"/>
      <w:marBottom w:val="0"/>
      <w:divBdr>
        <w:top w:val="none" w:sz="0" w:space="0" w:color="auto"/>
        <w:left w:val="none" w:sz="0" w:space="0" w:color="auto"/>
        <w:bottom w:val="none" w:sz="0" w:space="0" w:color="auto"/>
        <w:right w:val="none" w:sz="0" w:space="0" w:color="auto"/>
      </w:divBdr>
    </w:div>
    <w:div w:id="891765828">
      <w:bodyDiv w:val="1"/>
      <w:marLeft w:val="0"/>
      <w:marRight w:val="0"/>
      <w:marTop w:val="0"/>
      <w:marBottom w:val="0"/>
      <w:divBdr>
        <w:top w:val="none" w:sz="0" w:space="0" w:color="auto"/>
        <w:left w:val="none" w:sz="0" w:space="0" w:color="auto"/>
        <w:bottom w:val="none" w:sz="0" w:space="0" w:color="auto"/>
        <w:right w:val="none" w:sz="0" w:space="0" w:color="auto"/>
      </w:divBdr>
    </w:div>
    <w:div w:id="1028992142">
      <w:bodyDiv w:val="1"/>
      <w:marLeft w:val="0"/>
      <w:marRight w:val="0"/>
      <w:marTop w:val="0"/>
      <w:marBottom w:val="0"/>
      <w:divBdr>
        <w:top w:val="none" w:sz="0" w:space="0" w:color="auto"/>
        <w:left w:val="none" w:sz="0" w:space="0" w:color="auto"/>
        <w:bottom w:val="none" w:sz="0" w:space="0" w:color="auto"/>
        <w:right w:val="none" w:sz="0" w:space="0" w:color="auto"/>
      </w:divBdr>
    </w:div>
    <w:div w:id="1176264695">
      <w:bodyDiv w:val="1"/>
      <w:marLeft w:val="0"/>
      <w:marRight w:val="0"/>
      <w:marTop w:val="0"/>
      <w:marBottom w:val="0"/>
      <w:divBdr>
        <w:top w:val="none" w:sz="0" w:space="0" w:color="auto"/>
        <w:left w:val="none" w:sz="0" w:space="0" w:color="auto"/>
        <w:bottom w:val="none" w:sz="0" w:space="0" w:color="auto"/>
        <w:right w:val="none" w:sz="0" w:space="0" w:color="auto"/>
      </w:divBdr>
    </w:div>
    <w:div w:id="1414352479">
      <w:bodyDiv w:val="1"/>
      <w:marLeft w:val="0"/>
      <w:marRight w:val="0"/>
      <w:marTop w:val="0"/>
      <w:marBottom w:val="0"/>
      <w:divBdr>
        <w:top w:val="none" w:sz="0" w:space="0" w:color="auto"/>
        <w:left w:val="none" w:sz="0" w:space="0" w:color="auto"/>
        <w:bottom w:val="none" w:sz="0" w:space="0" w:color="auto"/>
        <w:right w:val="none" w:sz="0" w:space="0" w:color="auto"/>
      </w:divBdr>
    </w:div>
    <w:div w:id="1424379661">
      <w:bodyDiv w:val="1"/>
      <w:marLeft w:val="0"/>
      <w:marRight w:val="0"/>
      <w:marTop w:val="0"/>
      <w:marBottom w:val="0"/>
      <w:divBdr>
        <w:top w:val="none" w:sz="0" w:space="0" w:color="auto"/>
        <w:left w:val="none" w:sz="0" w:space="0" w:color="auto"/>
        <w:bottom w:val="none" w:sz="0" w:space="0" w:color="auto"/>
        <w:right w:val="none" w:sz="0" w:space="0" w:color="auto"/>
      </w:divBdr>
    </w:div>
    <w:div w:id="2087412947">
      <w:bodyDiv w:val="1"/>
      <w:marLeft w:val="0"/>
      <w:marRight w:val="0"/>
      <w:marTop w:val="0"/>
      <w:marBottom w:val="0"/>
      <w:divBdr>
        <w:top w:val="none" w:sz="0" w:space="0" w:color="auto"/>
        <w:left w:val="none" w:sz="0" w:space="0" w:color="auto"/>
        <w:bottom w:val="none" w:sz="0" w:space="0" w:color="auto"/>
        <w:right w:val="none" w:sz="0" w:space="0" w:color="auto"/>
      </w:divBdr>
      <w:divsChild>
        <w:div w:id="33668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Snowy Valeys Council Age Profile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Adelong and Surrounds</c:v>
                </c:pt>
              </c:strCache>
            </c:strRef>
          </c:tx>
          <c:spPr>
            <a:solidFill>
              <a:schemeClr val="accent1"/>
            </a:solidFill>
            <a:ln>
              <a:noFill/>
            </a:ln>
            <a:effectLst/>
          </c:spPr>
          <c:invertIfNegative val="0"/>
          <c:cat>
            <c:strRef>
              <c:f>Sheet1!$A$2:$A$12</c:f>
              <c:strCache>
                <c:ptCount val="10"/>
                <c:pt idx="0">
                  <c:v>0 to 4 years</c:v>
                </c:pt>
                <c:pt idx="1">
                  <c:v>5 to 11 years</c:v>
                </c:pt>
                <c:pt idx="2">
                  <c:v>12 to 17 years</c:v>
                </c:pt>
                <c:pt idx="3">
                  <c:v>18 to 24 years</c:v>
                </c:pt>
                <c:pt idx="4">
                  <c:v>25 to 34 years</c:v>
                </c:pt>
                <c:pt idx="5">
                  <c:v>35 to 49 years</c:v>
                </c:pt>
                <c:pt idx="6">
                  <c:v>50 to 59 years</c:v>
                </c:pt>
                <c:pt idx="7">
                  <c:v>60 to 69 years</c:v>
                </c:pt>
                <c:pt idx="8">
                  <c:v>70 to 84</c:v>
                </c:pt>
                <c:pt idx="9">
                  <c:v>85 and over</c:v>
                </c:pt>
              </c:strCache>
            </c:strRef>
          </c:cat>
          <c:val>
            <c:numRef>
              <c:f>Sheet1!$B$2:$B$12</c:f>
              <c:numCache>
                <c:formatCode>General</c:formatCode>
                <c:ptCount val="11"/>
                <c:pt idx="0">
                  <c:v>4.2</c:v>
                </c:pt>
                <c:pt idx="1">
                  <c:v>4.2</c:v>
                </c:pt>
                <c:pt idx="2">
                  <c:v>12.9</c:v>
                </c:pt>
                <c:pt idx="3">
                  <c:v>7.2</c:v>
                </c:pt>
                <c:pt idx="4">
                  <c:v>11.5</c:v>
                </c:pt>
                <c:pt idx="5">
                  <c:v>11.4</c:v>
                </c:pt>
                <c:pt idx="6">
                  <c:v>12.5</c:v>
                </c:pt>
                <c:pt idx="7">
                  <c:v>18.3</c:v>
                </c:pt>
                <c:pt idx="8">
                  <c:v>15.4</c:v>
                </c:pt>
                <c:pt idx="9">
                  <c:v>2.6</c:v>
                </c:pt>
              </c:numCache>
            </c:numRef>
          </c:val>
          <c:extLst>
            <c:ext xmlns:c16="http://schemas.microsoft.com/office/drawing/2014/chart" uri="{C3380CC4-5D6E-409C-BE32-E72D297353CC}">
              <c16:uniqueId val="{00000000-BDB9-4B06-8FDF-BFF9C4BC600E}"/>
            </c:ext>
          </c:extLst>
        </c:ser>
        <c:ser>
          <c:idx val="1"/>
          <c:order val="1"/>
          <c:tx>
            <c:strRef>
              <c:f>Sheet1!$C$1</c:f>
              <c:strCache>
                <c:ptCount val="1"/>
                <c:pt idx="0">
                  <c:v>Balow and Surrounds</c:v>
                </c:pt>
              </c:strCache>
            </c:strRef>
          </c:tx>
          <c:spPr>
            <a:solidFill>
              <a:schemeClr val="accent2"/>
            </a:solidFill>
            <a:ln>
              <a:noFill/>
            </a:ln>
            <a:effectLst/>
          </c:spPr>
          <c:invertIfNegative val="0"/>
          <c:cat>
            <c:strRef>
              <c:f>Sheet1!$A$2:$A$12</c:f>
              <c:strCache>
                <c:ptCount val="10"/>
                <c:pt idx="0">
                  <c:v>0 to 4 years</c:v>
                </c:pt>
                <c:pt idx="1">
                  <c:v>5 to 11 years</c:v>
                </c:pt>
                <c:pt idx="2">
                  <c:v>12 to 17 years</c:v>
                </c:pt>
                <c:pt idx="3">
                  <c:v>18 to 24 years</c:v>
                </c:pt>
                <c:pt idx="4">
                  <c:v>25 to 34 years</c:v>
                </c:pt>
                <c:pt idx="5">
                  <c:v>35 to 49 years</c:v>
                </c:pt>
                <c:pt idx="6">
                  <c:v>50 to 59 years</c:v>
                </c:pt>
                <c:pt idx="7">
                  <c:v>60 to 69 years</c:v>
                </c:pt>
                <c:pt idx="8">
                  <c:v>70 to 84</c:v>
                </c:pt>
                <c:pt idx="9">
                  <c:v>85 and over</c:v>
                </c:pt>
              </c:strCache>
            </c:strRef>
          </c:cat>
          <c:val>
            <c:numRef>
              <c:f>Sheet1!$C$2:$C$12</c:f>
              <c:numCache>
                <c:formatCode>General</c:formatCode>
                <c:ptCount val="11"/>
                <c:pt idx="0">
                  <c:v>4</c:v>
                </c:pt>
                <c:pt idx="1">
                  <c:v>5.9</c:v>
                </c:pt>
                <c:pt idx="2">
                  <c:v>12</c:v>
                </c:pt>
                <c:pt idx="3">
                  <c:v>7.5</c:v>
                </c:pt>
                <c:pt idx="4">
                  <c:v>9.6999999999999993</c:v>
                </c:pt>
                <c:pt idx="5">
                  <c:v>11.5</c:v>
                </c:pt>
                <c:pt idx="6">
                  <c:v>14.6</c:v>
                </c:pt>
                <c:pt idx="7">
                  <c:v>15.4</c:v>
                </c:pt>
                <c:pt idx="8">
                  <c:v>15.9</c:v>
                </c:pt>
                <c:pt idx="9">
                  <c:v>3.5</c:v>
                </c:pt>
              </c:numCache>
            </c:numRef>
          </c:val>
          <c:extLst>
            <c:ext xmlns:c16="http://schemas.microsoft.com/office/drawing/2014/chart" uri="{C3380CC4-5D6E-409C-BE32-E72D297353CC}">
              <c16:uniqueId val="{00000001-BDB9-4B06-8FDF-BFF9C4BC600E}"/>
            </c:ext>
          </c:extLst>
        </c:ser>
        <c:ser>
          <c:idx val="2"/>
          <c:order val="2"/>
          <c:tx>
            <c:strRef>
              <c:f>Sheet1!$D$1</c:f>
              <c:strCache>
                <c:ptCount val="1"/>
                <c:pt idx="0">
                  <c:v>Khancoban</c:v>
                </c:pt>
              </c:strCache>
            </c:strRef>
          </c:tx>
          <c:spPr>
            <a:solidFill>
              <a:schemeClr val="accent3"/>
            </a:solidFill>
            <a:ln>
              <a:noFill/>
            </a:ln>
            <a:effectLst/>
          </c:spPr>
          <c:invertIfNegative val="0"/>
          <c:cat>
            <c:strRef>
              <c:f>Sheet1!$A$2:$A$12</c:f>
              <c:strCache>
                <c:ptCount val="10"/>
                <c:pt idx="0">
                  <c:v>0 to 4 years</c:v>
                </c:pt>
                <c:pt idx="1">
                  <c:v>5 to 11 years</c:v>
                </c:pt>
                <c:pt idx="2">
                  <c:v>12 to 17 years</c:v>
                </c:pt>
                <c:pt idx="3">
                  <c:v>18 to 24 years</c:v>
                </c:pt>
                <c:pt idx="4">
                  <c:v>25 to 34 years</c:v>
                </c:pt>
                <c:pt idx="5">
                  <c:v>35 to 49 years</c:v>
                </c:pt>
                <c:pt idx="6">
                  <c:v>50 to 59 years</c:v>
                </c:pt>
                <c:pt idx="7">
                  <c:v>60 to 69 years</c:v>
                </c:pt>
                <c:pt idx="8">
                  <c:v>70 to 84</c:v>
                </c:pt>
                <c:pt idx="9">
                  <c:v>85 and over</c:v>
                </c:pt>
              </c:strCache>
            </c:strRef>
          </c:cat>
          <c:val>
            <c:numRef>
              <c:f>Sheet1!$D$2:$D$12</c:f>
              <c:numCache>
                <c:formatCode>General</c:formatCode>
                <c:ptCount val="11"/>
                <c:pt idx="0">
                  <c:v>3.6</c:v>
                </c:pt>
                <c:pt idx="1">
                  <c:v>6</c:v>
                </c:pt>
                <c:pt idx="2">
                  <c:v>9.9</c:v>
                </c:pt>
                <c:pt idx="3">
                  <c:v>11.7</c:v>
                </c:pt>
                <c:pt idx="4">
                  <c:v>7.2</c:v>
                </c:pt>
                <c:pt idx="5">
                  <c:v>11.1</c:v>
                </c:pt>
                <c:pt idx="6">
                  <c:v>13.3</c:v>
                </c:pt>
                <c:pt idx="7">
                  <c:v>19.7</c:v>
                </c:pt>
                <c:pt idx="8">
                  <c:v>15.3</c:v>
                </c:pt>
                <c:pt idx="9">
                  <c:v>1.8</c:v>
                </c:pt>
              </c:numCache>
            </c:numRef>
          </c:val>
          <c:extLst>
            <c:ext xmlns:c16="http://schemas.microsoft.com/office/drawing/2014/chart" uri="{C3380CC4-5D6E-409C-BE32-E72D297353CC}">
              <c16:uniqueId val="{00000002-BDB9-4B06-8FDF-BFF9C4BC600E}"/>
            </c:ext>
          </c:extLst>
        </c:ser>
        <c:ser>
          <c:idx val="3"/>
          <c:order val="3"/>
          <c:tx>
            <c:strRef>
              <c:f>Sheet1!$E$1</c:f>
              <c:strCache>
                <c:ptCount val="1"/>
                <c:pt idx="0">
                  <c:v>Talbingo</c:v>
                </c:pt>
              </c:strCache>
            </c:strRef>
          </c:tx>
          <c:spPr>
            <a:solidFill>
              <a:schemeClr val="accent4"/>
            </a:solidFill>
            <a:ln>
              <a:noFill/>
            </a:ln>
            <a:effectLst/>
          </c:spPr>
          <c:invertIfNegative val="0"/>
          <c:cat>
            <c:strRef>
              <c:f>Sheet1!$A$2:$A$12</c:f>
              <c:strCache>
                <c:ptCount val="10"/>
                <c:pt idx="0">
                  <c:v>0 to 4 years</c:v>
                </c:pt>
                <c:pt idx="1">
                  <c:v>5 to 11 years</c:v>
                </c:pt>
                <c:pt idx="2">
                  <c:v>12 to 17 years</c:v>
                </c:pt>
                <c:pt idx="3">
                  <c:v>18 to 24 years</c:v>
                </c:pt>
                <c:pt idx="4">
                  <c:v>25 to 34 years</c:v>
                </c:pt>
                <c:pt idx="5">
                  <c:v>35 to 49 years</c:v>
                </c:pt>
                <c:pt idx="6">
                  <c:v>50 to 59 years</c:v>
                </c:pt>
                <c:pt idx="7">
                  <c:v>60 to 69 years</c:v>
                </c:pt>
                <c:pt idx="8">
                  <c:v>70 to 84</c:v>
                </c:pt>
                <c:pt idx="9">
                  <c:v>85 and over</c:v>
                </c:pt>
              </c:strCache>
            </c:strRef>
          </c:cat>
          <c:val>
            <c:numRef>
              <c:f>Sheet1!$E$2:$E$12</c:f>
              <c:numCache>
                <c:formatCode>General</c:formatCode>
                <c:ptCount val="11"/>
                <c:pt idx="0">
                  <c:v>3.9</c:v>
                </c:pt>
                <c:pt idx="1">
                  <c:v>6.1</c:v>
                </c:pt>
                <c:pt idx="2">
                  <c:v>8.1999999999999993</c:v>
                </c:pt>
                <c:pt idx="3">
                  <c:v>4.3</c:v>
                </c:pt>
                <c:pt idx="4">
                  <c:v>5.2</c:v>
                </c:pt>
                <c:pt idx="5">
                  <c:v>7</c:v>
                </c:pt>
                <c:pt idx="6">
                  <c:v>10.4</c:v>
                </c:pt>
                <c:pt idx="7">
                  <c:v>21.3</c:v>
                </c:pt>
                <c:pt idx="8">
                  <c:v>30</c:v>
                </c:pt>
                <c:pt idx="9">
                  <c:v>3.5</c:v>
                </c:pt>
              </c:numCache>
            </c:numRef>
          </c:val>
          <c:extLst>
            <c:ext xmlns:c16="http://schemas.microsoft.com/office/drawing/2014/chart" uri="{C3380CC4-5D6E-409C-BE32-E72D297353CC}">
              <c16:uniqueId val="{00000003-BDB9-4B06-8FDF-BFF9C4BC600E}"/>
            </c:ext>
          </c:extLst>
        </c:ser>
        <c:ser>
          <c:idx val="4"/>
          <c:order val="4"/>
          <c:tx>
            <c:strRef>
              <c:f>Sheet1!$F$1</c:f>
              <c:strCache>
                <c:ptCount val="1"/>
                <c:pt idx="0">
                  <c:v>Tumbarumba </c:v>
                </c:pt>
              </c:strCache>
            </c:strRef>
          </c:tx>
          <c:spPr>
            <a:solidFill>
              <a:schemeClr val="accent5"/>
            </a:solidFill>
            <a:ln>
              <a:noFill/>
            </a:ln>
            <a:effectLst/>
          </c:spPr>
          <c:invertIfNegative val="0"/>
          <c:cat>
            <c:strRef>
              <c:f>Sheet1!$A$2:$A$12</c:f>
              <c:strCache>
                <c:ptCount val="10"/>
                <c:pt idx="0">
                  <c:v>0 to 4 years</c:v>
                </c:pt>
                <c:pt idx="1">
                  <c:v>5 to 11 years</c:v>
                </c:pt>
                <c:pt idx="2">
                  <c:v>12 to 17 years</c:v>
                </c:pt>
                <c:pt idx="3">
                  <c:v>18 to 24 years</c:v>
                </c:pt>
                <c:pt idx="4">
                  <c:v>25 to 34 years</c:v>
                </c:pt>
                <c:pt idx="5">
                  <c:v>35 to 49 years</c:v>
                </c:pt>
                <c:pt idx="6">
                  <c:v>50 to 59 years</c:v>
                </c:pt>
                <c:pt idx="7">
                  <c:v>60 to 69 years</c:v>
                </c:pt>
                <c:pt idx="8">
                  <c:v>70 to 84</c:v>
                </c:pt>
                <c:pt idx="9">
                  <c:v>85 and over</c:v>
                </c:pt>
              </c:strCache>
            </c:strRef>
          </c:cat>
          <c:val>
            <c:numRef>
              <c:f>Sheet1!$F$2:$F$12</c:f>
              <c:numCache>
                <c:formatCode>General</c:formatCode>
                <c:ptCount val="11"/>
                <c:pt idx="0">
                  <c:v>5.7</c:v>
                </c:pt>
                <c:pt idx="1">
                  <c:v>6.8</c:v>
                </c:pt>
                <c:pt idx="2">
                  <c:v>10.7</c:v>
                </c:pt>
                <c:pt idx="3">
                  <c:v>8.6999999999999993</c:v>
                </c:pt>
                <c:pt idx="4">
                  <c:v>9.4</c:v>
                </c:pt>
                <c:pt idx="5">
                  <c:v>12.3</c:v>
                </c:pt>
                <c:pt idx="6">
                  <c:v>11.9</c:v>
                </c:pt>
                <c:pt idx="7">
                  <c:v>15.6</c:v>
                </c:pt>
                <c:pt idx="8">
                  <c:v>15.2</c:v>
                </c:pt>
                <c:pt idx="9">
                  <c:v>3.8</c:v>
                </c:pt>
              </c:numCache>
            </c:numRef>
          </c:val>
          <c:extLst>
            <c:ext xmlns:c16="http://schemas.microsoft.com/office/drawing/2014/chart" uri="{C3380CC4-5D6E-409C-BE32-E72D297353CC}">
              <c16:uniqueId val="{00000004-BDB9-4B06-8FDF-BFF9C4BC600E}"/>
            </c:ext>
          </c:extLst>
        </c:ser>
        <c:ser>
          <c:idx val="5"/>
          <c:order val="5"/>
          <c:tx>
            <c:strRef>
              <c:f>Sheet1!$G$1</c:f>
              <c:strCache>
                <c:ptCount val="1"/>
                <c:pt idx="0">
                  <c:v>Tumut</c:v>
                </c:pt>
              </c:strCache>
            </c:strRef>
          </c:tx>
          <c:spPr>
            <a:solidFill>
              <a:schemeClr val="accent6"/>
            </a:solidFill>
            <a:ln>
              <a:noFill/>
            </a:ln>
            <a:effectLst/>
          </c:spPr>
          <c:invertIfNegative val="0"/>
          <c:cat>
            <c:strRef>
              <c:f>Sheet1!$A$2:$A$12</c:f>
              <c:strCache>
                <c:ptCount val="10"/>
                <c:pt idx="0">
                  <c:v>0 to 4 years</c:v>
                </c:pt>
                <c:pt idx="1">
                  <c:v>5 to 11 years</c:v>
                </c:pt>
                <c:pt idx="2">
                  <c:v>12 to 17 years</c:v>
                </c:pt>
                <c:pt idx="3">
                  <c:v>18 to 24 years</c:v>
                </c:pt>
                <c:pt idx="4">
                  <c:v>25 to 34 years</c:v>
                </c:pt>
                <c:pt idx="5">
                  <c:v>35 to 49 years</c:v>
                </c:pt>
                <c:pt idx="6">
                  <c:v>50 to 59 years</c:v>
                </c:pt>
                <c:pt idx="7">
                  <c:v>60 to 69 years</c:v>
                </c:pt>
                <c:pt idx="8">
                  <c:v>70 to 84</c:v>
                </c:pt>
                <c:pt idx="9">
                  <c:v>85 and over</c:v>
                </c:pt>
              </c:strCache>
            </c:strRef>
          </c:cat>
          <c:val>
            <c:numRef>
              <c:f>Sheet1!$G$2:$G$12</c:f>
              <c:numCache>
                <c:formatCode>General</c:formatCode>
                <c:ptCount val="11"/>
                <c:pt idx="0">
                  <c:v>6.5</c:v>
                </c:pt>
                <c:pt idx="1">
                  <c:v>6.3</c:v>
                </c:pt>
                <c:pt idx="2">
                  <c:v>12.2</c:v>
                </c:pt>
                <c:pt idx="3">
                  <c:v>11.4</c:v>
                </c:pt>
                <c:pt idx="4">
                  <c:v>11.6</c:v>
                </c:pt>
                <c:pt idx="5">
                  <c:v>11.1</c:v>
                </c:pt>
                <c:pt idx="6">
                  <c:v>12.1</c:v>
                </c:pt>
                <c:pt idx="7">
                  <c:v>12.2</c:v>
                </c:pt>
                <c:pt idx="8">
                  <c:v>13.6</c:v>
                </c:pt>
                <c:pt idx="9">
                  <c:v>3</c:v>
                </c:pt>
              </c:numCache>
            </c:numRef>
          </c:val>
          <c:extLst>
            <c:ext xmlns:c16="http://schemas.microsoft.com/office/drawing/2014/chart" uri="{C3380CC4-5D6E-409C-BE32-E72D297353CC}">
              <c16:uniqueId val="{00000005-BDB9-4B06-8FDF-BFF9C4BC600E}"/>
            </c:ext>
          </c:extLst>
        </c:ser>
        <c:ser>
          <c:idx val="6"/>
          <c:order val="6"/>
          <c:tx>
            <c:strRef>
              <c:f>Sheet1!$H$1</c:f>
              <c:strCache>
                <c:ptCount val="1"/>
                <c:pt idx="0">
                  <c:v>Tumut and Surrounds</c:v>
                </c:pt>
              </c:strCache>
            </c:strRef>
          </c:tx>
          <c:spPr>
            <a:solidFill>
              <a:schemeClr val="accent1">
                <a:lumMod val="60000"/>
              </a:schemeClr>
            </a:solidFill>
            <a:ln>
              <a:noFill/>
            </a:ln>
            <a:effectLst/>
          </c:spPr>
          <c:invertIfNegative val="0"/>
          <c:cat>
            <c:strRef>
              <c:f>Sheet1!$A$2:$A$12</c:f>
              <c:strCache>
                <c:ptCount val="10"/>
                <c:pt idx="0">
                  <c:v>0 to 4 years</c:v>
                </c:pt>
                <c:pt idx="1">
                  <c:v>5 to 11 years</c:v>
                </c:pt>
                <c:pt idx="2">
                  <c:v>12 to 17 years</c:v>
                </c:pt>
                <c:pt idx="3">
                  <c:v>18 to 24 years</c:v>
                </c:pt>
                <c:pt idx="4">
                  <c:v>25 to 34 years</c:v>
                </c:pt>
                <c:pt idx="5">
                  <c:v>35 to 49 years</c:v>
                </c:pt>
                <c:pt idx="6">
                  <c:v>50 to 59 years</c:v>
                </c:pt>
                <c:pt idx="7">
                  <c:v>60 to 69 years</c:v>
                </c:pt>
                <c:pt idx="8">
                  <c:v>70 to 84</c:v>
                </c:pt>
                <c:pt idx="9">
                  <c:v>85 and over</c:v>
                </c:pt>
              </c:strCache>
            </c:strRef>
          </c:cat>
          <c:val>
            <c:numRef>
              <c:f>Sheet1!$H$2:$H$12</c:f>
              <c:numCache>
                <c:formatCode>General</c:formatCode>
                <c:ptCount val="11"/>
                <c:pt idx="0">
                  <c:v>4.2</c:v>
                </c:pt>
                <c:pt idx="1">
                  <c:v>6.3</c:v>
                </c:pt>
                <c:pt idx="2">
                  <c:v>13.1</c:v>
                </c:pt>
                <c:pt idx="3">
                  <c:v>6.8</c:v>
                </c:pt>
                <c:pt idx="4">
                  <c:v>10</c:v>
                </c:pt>
                <c:pt idx="5">
                  <c:v>12.3</c:v>
                </c:pt>
                <c:pt idx="6">
                  <c:v>15</c:v>
                </c:pt>
                <c:pt idx="7">
                  <c:v>16.3</c:v>
                </c:pt>
                <c:pt idx="8">
                  <c:v>11.2</c:v>
                </c:pt>
                <c:pt idx="9">
                  <c:v>2.2000000000000002</c:v>
                </c:pt>
              </c:numCache>
            </c:numRef>
          </c:val>
          <c:extLst>
            <c:ext xmlns:c16="http://schemas.microsoft.com/office/drawing/2014/chart" uri="{C3380CC4-5D6E-409C-BE32-E72D297353CC}">
              <c16:uniqueId val="{00000006-BDB9-4B06-8FDF-BFF9C4BC600E}"/>
            </c:ext>
          </c:extLst>
        </c:ser>
        <c:dLbls>
          <c:showLegendKey val="0"/>
          <c:showVal val="0"/>
          <c:showCatName val="0"/>
          <c:showSerName val="0"/>
          <c:showPercent val="0"/>
          <c:showBubbleSize val="0"/>
        </c:dLbls>
        <c:gapWidth val="182"/>
        <c:axId val="863550264"/>
        <c:axId val="863547744"/>
      </c:barChart>
      <c:catAx>
        <c:axId val="863550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547744"/>
        <c:crosses val="autoZero"/>
        <c:auto val="1"/>
        <c:lblAlgn val="ctr"/>
        <c:lblOffset val="100"/>
        <c:noMultiLvlLbl val="0"/>
      </c:catAx>
      <c:valAx>
        <c:axId val="863547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550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AU" sz="1400" b="0" i="0" u="none" strike="noStrike" kern="1200" spc="0" baseline="0">
                <a:solidFill>
                  <a:sysClr val="windowText" lastClr="000000">
                    <a:lumMod val="65000"/>
                    <a:lumOff val="35000"/>
                  </a:sysClr>
                </a:solidFill>
                <a:latin typeface="Avenir Next LT Pro" panose="020B0504020202020204" pitchFamily="34" charset="0"/>
                <a:ea typeface="+mn-ea"/>
                <a:cs typeface="+mn-cs"/>
              </a:rPr>
              <a:t>SVC</a:t>
            </a:r>
            <a:r>
              <a:rPr lang="en-AU" baseline="0">
                <a:latin typeface="Avenir Next LT Pro" panose="020B0504020202020204" pitchFamily="34" charset="0"/>
              </a:rPr>
              <a:t> Household Composition</a:t>
            </a:r>
            <a:endParaRPr lang="en-AU">
              <a:latin typeface="Avenir Next LT Pro" panose="020B05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barChart>
        <c:barDir val="bar"/>
        <c:grouping val="clustered"/>
        <c:varyColors val="0"/>
        <c:ser>
          <c:idx val="0"/>
          <c:order val="0"/>
          <c:tx>
            <c:strRef>
              <c:f>Sheet1!$B$1</c:f>
              <c:strCache>
                <c:ptCount val="1"/>
                <c:pt idx="0">
                  <c:v>Adelong </c:v>
                </c:pt>
              </c:strCache>
            </c:strRef>
          </c:tx>
          <c:spPr>
            <a:solidFill>
              <a:schemeClr val="accent1"/>
            </a:solidFill>
            <a:ln>
              <a:noFill/>
            </a:ln>
            <a:effectLst/>
          </c:spPr>
          <c:invertIfNegative val="0"/>
          <c:cat>
            <c:strRef>
              <c:f>Sheet1!$A$2:$A$9</c:f>
              <c:strCache>
                <c:ptCount val="8"/>
                <c:pt idx="0">
                  <c:v>Couples with children</c:v>
                </c:pt>
                <c:pt idx="1">
                  <c:v>Couples without children</c:v>
                </c:pt>
                <c:pt idx="2">
                  <c:v>One parent families</c:v>
                </c:pt>
                <c:pt idx="3">
                  <c:v>Other families</c:v>
                </c:pt>
                <c:pt idx="4">
                  <c:v>Group household</c:v>
                </c:pt>
                <c:pt idx="5">
                  <c:v>Lone person</c:v>
                </c:pt>
                <c:pt idx="6">
                  <c:v>Other not classifiable</c:v>
                </c:pt>
                <c:pt idx="7">
                  <c:v>Visitor only</c:v>
                </c:pt>
              </c:strCache>
            </c:strRef>
          </c:cat>
          <c:val>
            <c:numRef>
              <c:f>Sheet1!$B$2:$B$9</c:f>
              <c:numCache>
                <c:formatCode>General</c:formatCode>
                <c:ptCount val="8"/>
                <c:pt idx="0">
                  <c:v>88</c:v>
                </c:pt>
                <c:pt idx="1">
                  <c:v>123</c:v>
                </c:pt>
                <c:pt idx="2">
                  <c:v>30</c:v>
                </c:pt>
                <c:pt idx="3">
                  <c:v>3</c:v>
                </c:pt>
                <c:pt idx="4">
                  <c:v>9</c:v>
                </c:pt>
                <c:pt idx="5">
                  <c:v>116</c:v>
                </c:pt>
              </c:numCache>
            </c:numRef>
          </c:val>
          <c:extLst>
            <c:ext xmlns:c16="http://schemas.microsoft.com/office/drawing/2014/chart" uri="{C3380CC4-5D6E-409C-BE32-E72D297353CC}">
              <c16:uniqueId val="{00000000-70DC-4A11-8250-F5D40AA7BE75}"/>
            </c:ext>
          </c:extLst>
        </c:ser>
        <c:ser>
          <c:idx val="1"/>
          <c:order val="1"/>
          <c:tx>
            <c:strRef>
              <c:f>Sheet1!$C$1</c:f>
              <c:strCache>
                <c:ptCount val="1"/>
                <c:pt idx="0">
                  <c:v>Batlow</c:v>
                </c:pt>
              </c:strCache>
            </c:strRef>
          </c:tx>
          <c:spPr>
            <a:solidFill>
              <a:schemeClr val="accent2"/>
            </a:solidFill>
            <a:ln>
              <a:noFill/>
            </a:ln>
            <a:effectLst/>
          </c:spPr>
          <c:invertIfNegative val="0"/>
          <c:cat>
            <c:strRef>
              <c:f>Sheet1!$A$2:$A$9</c:f>
              <c:strCache>
                <c:ptCount val="8"/>
                <c:pt idx="0">
                  <c:v>Couples with children</c:v>
                </c:pt>
                <c:pt idx="1">
                  <c:v>Couples without children</c:v>
                </c:pt>
                <c:pt idx="2">
                  <c:v>One parent families</c:v>
                </c:pt>
                <c:pt idx="3">
                  <c:v>Other families</c:v>
                </c:pt>
                <c:pt idx="4">
                  <c:v>Group household</c:v>
                </c:pt>
                <c:pt idx="5">
                  <c:v>Lone person</c:v>
                </c:pt>
                <c:pt idx="6">
                  <c:v>Other not classifiable</c:v>
                </c:pt>
                <c:pt idx="7">
                  <c:v>Visitor only</c:v>
                </c:pt>
              </c:strCache>
            </c:strRef>
          </c:cat>
          <c:val>
            <c:numRef>
              <c:f>Sheet1!$C$2:$C$9</c:f>
              <c:numCache>
                <c:formatCode>General</c:formatCode>
                <c:ptCount val="8"/>
                <c:pt idx="0">
                  <c:v>73</c:v>
                </c:pt>
                <c:pt idx="1">
                  <c:v>139</c:v>
                </c:pt>
                <c:pt idx="2">
                  <c:v>48</c:v>
                </c:pt>
                <c:pt idx="3">
                  <c:v>5</c:v>
                </c:pt>
                <c:pt idx="4">
                  <c:v>10</c:v>
                </c:pt>
                <c:pt idx="5">
                  <c:v>147</c:v>
                </c:pt>
              </c:numCache>
            </c:numRef>
          </c:val>
          <c:extLst>
            <c:ext xmlns:c16="http://schemas.microsoft.com/office/drawing/2014/chart" uri="{C3380CC4-5D6E-409C-BE32-E72D297353CC}">
              <c16:uniqueId val="{00000001-70DC-4A11-8250-F5D40AA7BE75}"/>
            </c:ext>
          </c:extLst>
        </c:ser>
        <c:ser>
          <c:idx val="2"/>
          <c:order val="2"/>
          <c:tx>
            <c:strRef>
              <c:f>Sheet1!$D$1</c:f>
              <c:strCache>
                <c:ptCount val="1"/>
                <c:pt idx="0">
                  <c:v>Tumbarumba</c:v>
                </c:pt>
              </c:strCache>
            </c:strRef>
          </c:tx>
          <c:spPr>
            <a:solidFill>
              <a:schemeClr val="accent3"/>
            </a:solidFill>
            <a:ln>
              <a:noFill/>
            </a:ln>
            <a:effectLst/>
          </c:spPr>
          <c:invertIfNegative val="0"/>
          <c:cat>
            <c:strRef>
              <c:f>Sheet1!$A$2:$A$9</c:f>
              <c:strCache>
                <c:ptCount val="8"/>
                <c:pt idx="0">
                  <c:v>Couples with children</c:v>
                </c:pt>
                <c:pt idx="1">
                  <c:v>Couples without children</c:v>
                </c:pt>
                <c:pt idx="2">
                  <c:v>One parent families</c:v>
                </c:pt>
                <c:pt idx="3">
                  <c:v>Other families</c:v>
                </c:pt>
                <c:pt idx="4">
                  <c:v>Group household</c:v>
                </c:pt>
                <c:pt idx="5">
                  <c:v>Lone person</c:v>
                </c:pt>
                <c:pt idx="6">
                  <c:v>Other not classifiable</c:v>
                </c:pt>
                <c:pt idx="7">
                  <c:v>Visitor only</c:v>
                </c:pt>
              </c:strCache>
            </c:strRef>
          </c:cat>
          <c:val>
            <c:numRef>
              <c:f>Sheet1!$D$2:$D$9</c:f>
              <c:numCache>
                <c:formatCode>General</c:formatCode>
                <c:ptCount val="8"/>
                <c:pt idx="0">
                  <c:v>122</c:v>
                </c:pt>
                <c:pt idx="1">
                  <c:v>201</c:v>
                </c:pt>
                <c:pt idx="2">
                  <c:v>84</c:v>
                </c:pt>
                <c:pt idx="3">
                  <c:v>9</c:v>
                </c:pt>
                <c:pt idx="4">
                  <c:v>12</c:v>
                </c:pt>
                <c:pt idx="5">
                  <c:v>183</c:v>
                </c:pt>
              </c:numCache>
            </c:numRef>
          </c:val>
          <c:extLst>
            <c:ext xmlns:c16="http://schemas.microsoft.com/office/drawing/2014/chart" uri="{C3380CC4-5D6E-409C-BE32-E72D297353CC}">
              <c16:uniqueId val="{00000002-70DC-4A11-8250-F5D40AA7BE75}"/>
            </c:ext>
          </c:extLst>
        </c:ser>
        <c:ser>
          <c:idx val="3"/>
          <c:order val="3"/>
          <c:tx>
            <c:strRef>
              <c:f>Sheet1!$E$1</c:f>
              <c:strCache>
                <c:ptCount val="1"/>
                <c:pt idx="0">
                  <c:v>Tumut</c:v>
                </c:pt>
              </c:strCache>
            </c:strRef>
          </c:tx>
          <c:spPr>
            <a:solidFill>
              <a:schemeClr val="accent4"/>
            </a:solidFill>
            <a:ln>
              <a:noFill/>
            </a:ln>
            <a:effectLst/>
          </c:spPr>
          <c:invertIfNegative val="0"/>
          <c:cat>
            <c:strRef>
              <c:f>Sheet1!$A$2:$A$9</c:f>
              <c:strCache>
                <c:ptCount val="8"/>
                <c:pt idx="0">
                  <c:v>Couples with children</c:v>
                </c:pt>
                <c:pt idx="1">
                  <c:v>Couples without children</c:v>
                </c:pt>
                <c:pt idx="2">
                  <c:v>One parent families</c:v>
                </c:pt>
                <c:pt idx="3">
                  <c:v>Other families</c:v>
                </c:pt>
                <c:pt idx="4">
                  <c:v>Group household</c:v>
                </c:pt>
                <c:pt idx="5">
                  <c:v>Lone person</c:v>
                </c:pt>
                <c:pt idx="6">
                  <c:v>Other not classifiable</c:v>
                </c:pt>
                <c:pt idx="7">
                  <c:v>Visitor only</c:v>
                </c:pt>
              </c:strCache>
            </c:strRef>
          </c:cat>
          <c:val>
            <c:numRef>
              <c:f>Sheet1!$E$2:$E$9</c:f>
              <c:numCache>
                <c:formatCode>General</c:formatCode>
                <c:ptCount val="8"/>
                <c:pt idx="0">
                  <c:v>645</c:v>
                </c:pt>
                <c:pt idx="1">
                  <c:v>754</c:v>
                </c:pt>
                <c:pt idx="2">
                  <c:v>344</c:v>
                </c:pt>
                <c:pt idx="3">
                  <c:v>23</c:v>
                </c:pt>
                <c:pt idx="4">
                  <c:v>49</c:v>
                </c:pt>
                <c:pt idx="5">
                  <c:v>812</c:v>
                </c:pt>
              </c:numCache>
            </c:numRef>
          </c:val>
          <c:extLst>
            <c:ext xmlns:c16="http://schemas.microsoft.com/office/drawing/2014/chart" uri="{C3380CC4-5D6E-409C-BE32-E72D297353CC}">
              <c16:uniqueId val="{00000003-70DC-4A11-8250-F5D40AA7BE75}"/>
            </c:ext>
          </c:extLst>
        </c:ser>
        <c:ser>
          <c:idx val="4"/>
          <c:order val="4"/>
          <c:tx>
            <c:strRef>
              <c:f>Sheet1!$F$1</c:f>
              <c:strCache>
                <c:ptCount val="1"/>
                <c:pt idx="0">
                  <c:v>Talbingo</c:v>
                </c:pt>
              </c:strCache>
            </c:strRef>
          </c:tx>
          <c:spPr>
            <a:solidFill>
              <a:schemeClr val="accent5"/>
            </a:solidFill>
            <a:ln>
              <a:noFill/>
            </a:ln>
            <a:effectLst/>
          </c:spPr>
          <c:invertIfNegative val="0"/>
          <c:cat>
            <c:strRef>
              <c:f>Sheet1!$A$2:$A$9</c:f>
              <c:strCache>
                <c:ptCount val="8"/>
                <c:pt idx="0">
                  <c:v>Couples with children</c:v>
                </c:pt>
                <c:pt idx="1">
                  <c:v>Couples without children</c:v>
                </c:pt>
                <c:pt idx="2">
                  <c:v>One parent families</c:v>
                </c:pt>
                <c:pt idx="3">
                  <c:v>Other families</c:v>
                </c:pt>
                <c:pt idx="4">
                  <c:v>Group household</c:v>
                </c:pt>
                <c:pt idx="5">
                  <c:v>Lone person</c:v>
                </c:pt>
                <c:pt idx="6">
                  <c:v>Other not classifiable</c:v>
                </c:pt>
                <c:pt idx="7">
                  <c:v>Visitor only</c:v>
                </c:pt>
              </c:strCache>
            </c:strRef>
          </c:cat>
          <c:val>
            <c:numRef>
              <c:f>Sheet1!$F$2:$F$9</c:f>
              <c:numCache>
                <c:formatCode>General</c:formatCode>
                <c:ptCount val="8"/>
                <c:pt idx="0">
                  <c:v>13</c:v>
                </c:pt>
                <c:pt idx="1">
                  <c:v>28</c:v>
                </c:pt>
                <c:pt idx="2">
                  <c:v>3</c:v>
                </c:pt>
                <c:pt idx="3">
                  <c:v>0</c:v>
                </c:pt>
                <c:pt idx="4">
                  <c:v>0</c:v>
                </c:pt>
                <c:pt idx="5">
                  <c:v>36</c:v>
                </c:pt>
              </c:numCache>
            </c:numRef>
          </c:val>
          <c:extLst>
            <c:ext xmlns:c16="http://schemas.microsoft.com/office/drawing/2014/chart" uri="{C3380CC4-5D6E-409C-BE32-E72D297353CC}">
              <c16:uniqueId val="{00000005-70DC-4A11-8250-F5D40AA7BE75}"/>
            </c:ext>
          </c:extLst>
        </c:ser>
        <c:ser>
          <c:idx val="5"/>
          <c:order val="5"/>
          <c:tx>
            <c:strRef>
              <c:f>Sheet1!$G$1</c:f>
              <c:strCache>
                <c:ptCount val="1"/>
                <c:pt idx="0">
                  <c:v>Khancoban</c:v>
                </c:pt>
              </c:strCache>
            </c:strRef>
          </c:tx>
          <c:spPr>
            <a:solidFill>
              <a:schemeClr val="accent6"/>
            </a:solidFill>
            <a:ln>
              <a:noFill/>
            </a:ln>
            <a:effectLst/>
          </c:spPr>
          <c:invertIfNegative val="0"/>
          <c:cat>
            <c:strRef>
              <c:f>Sheet1!$A$2:$A$9</c:f>
              <c:strCache>
                <c:ptCount val="8"/>
                <c:pt idx="0">
                  <c:v>Couples with children</c:v>
                </c:pt>
                <c:pt idx="1">
                  <c:v>Couples without children</c:v>
                </c:pt>
                <c:pt idx="2">
                  <c:v>One parent families</c:v>
                </c:pt>
                <c:pt idx="3">
                  <c:v>Other families</c:v>
                </c:pt>
                <c:pt idx="4">
                  <c:v>Group household</c:v>
                </c:pt>
                <c:pt idx="5">
                  <c:v>Lone person</c:v>
                </c:pt>
                <c:pt idx="6">
                  <c:v>Other not classifiable</c:v>
                </c:pt>
                <c:pt idx="7">
                  <c:v>Visitor only</c:v>
                </c:pt>
              </c:strCache>
            </c:strRef>
          </c:cat>
          <c:val>
            <c:numRef>
              <c:f>Sheet1!$G$2:$G$9</c:f>
              <c:numCache>
                <c:formatCode>General</c:formatCode>
                <c:ptCount val="8"/>
                <c:pt idx="0">
                  <c:v>21</c:v>
                </c:pt>
                <c:pt idx="1">
                  <c:v>36</c:v>
                </c:pt>
                <c:pt idx="2">
                  <c:v>6</c:v>
                </c:pt>
                <c:pt idx="3">
                  <c:v>0</c:v>
                </c:pt>
                <c:pt idx="4">
                  <c:v>0</c:v>
                </c:pt>
                <c:pt idx="5">
                  <c:v>39</c:v>
                </c:pt>
              </c:numCache>
            </c:numRef>
          </c:val>
          <c:extLst>
            <c:ext xmlns:c16="http://schemas.microsoft.com/office/drawing/2014/chart" uri="{C3380CC4-5D6E-409C-BE32-E72D297353CC}">
              <c16:uniqueId val="{00000001-A979-497B-BC4B-AB64E2F13E69}"/>
            </c:ext>
          </c:extLst>
        </c:ser>
        <c:dLbls>
          <c:showLegendKey val="0"/>
          <c:showVal val="0"/>
          <c:showCatName val="0"/>
          <c:showSerName val="0"/>
          <c:showPercent val="0"/>
          <c:showBubbleSize val="0"/>
        </c:dLbls>
        <c:gapWidth val="182"/>
        <c:axId val="871716192"/>
        <c:axId val="871711872"/>
      </c:barChart>
      <c:catAx>
        <c:axId val="871716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871711872"/>
        <c:crosses val="autoZero"/>
        <c:auto val="1"/>
        <c:lblAlgn val="ctr"/>
        <c:lblOffset val="100"/>
        <c:noMultiLvlLbl val="0"/>
      </c:catAx>
      <c:valAx>
        <c:axId val="871711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71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Income</a:t>
            </a:r>
          </a:p>
        </c:rich>
      </c:tx>
      <c:layout>
        <c:manualLayout>
          <c:xMode val="edge"/>
          <c:yMode val="edge"/>
          <c:x val="0.40374416739574226"/>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Sheet1!$A$2:$A$7</c:f>
              <c:strCache>
                <c:ptCount val="6"/>
                <c:pt idx="0">
                  <c:v>Adelong</c:v>
                </c:pt>
                <c:pt idx="1">
                  <c:v>Batlow</c:v>
                </c:pt>
                <c:pt idx="2">
                  <c:v>Khancoban</c:v>
                </c:pt>
                <c:pt idx="3">
                  <c:v>Talbingo</c:v>
                </c:pt>
                <c:pt idx="4">
                  <c:v>Tumbarumba</c:v>
                </c:pt>
                <c:pt idx="5">
                  <c:v>Tumut</c:v>
                </c:pt>
              </c:strCache>
            </c:strRef>
          </c:cat>
          <c:val>
            <c:numRef>
              <c:f>Sheet1!$B$2:$B$7</c:f>
              <c:numCache>
                <c:formatCode>General</c:formatCode>
                <c:ptCount val="6"/>
                <c:pt idx="0">
                  <c:v>32.5</c:v>
                </c:pt>
                <c:pt idx="1">
                  <c:v>39</c:v>
                </c:pt>
                <c:pt idx="2">
                  <c:v>26.2</c:v>
                </c:pt>
                <c:pt idx="3">
                  <c:v>32</c:v>
                </c:pt>
                <c:pt idx="4">
                  <c:v>28.6</c:v>
                </c:pt>
                <c:pt idx="5">
                  <c:v>27.3</c:v>
                </c:pt>
              </c:numCache>
            </c:numRef>
          </c:val>
          <c:extLst>
            <c:ext xmlns:c16="http://schemas.microsoft.com/office/drawing/2014/chart" uri="{C3380CC4-5D6E-409C-BE32-E72D297353CC}">
              <c16:uniqueId val="{00000000-E488-4422-935C-AA0D0482DFF2}"/>
            </c:ext>
          </c:extLst>
        </c:ser>
        <c:ser>
          <c:idx val="1"/>
          <c:order val="1"/>
          <c:tx>
            <c:strRef>
              <c:f>Sheet1!$C$1</c:f>
              <c:strCache>
                <c:ptCount val="1"/>
                <c:pt idx="0">
                  <c:v>High</c:v>
                </c:pt>
              </c:strCache>
            </c:strRef>
          </c:tx>
          <c:spPr>
            <a:solidFill>
              <a:schemeClr val="accent2"/>
            </a:solidFill>
            <a:ln>
              <a:noFill/>
            </a:ln>
            <a:effectLst/>
          </c:spPr>
          <c:invertIfNegative val="0"/>
          <c:cat>
            <c:strRef>
              <c:f>Sheet1!$A$2:$A$7</c:f>
              <c:strCache>
                <c:ptCount val="6"/>
                <c:pt idx="0">
                  <c:v>Adelong</c:v>
                </c:pt>
                <c:pt idx="1">
                  <c:v>Batlow</c:v>
                </c:pt>
                <c:pt idx="2">
                  <c:v>Khancoban</c:v>
                </c:pt>
                <c:pt idx="3">
                  <c:v>Talbingo</c:v>
                </c:pt>
                <c:pt idx="4">
                  <c:v>Tumbarumba</c:v>
                </c:pt>
                <c:pt idx="5">
                  <c:v>Tumut</c:v>
                </c:pt>
              </c:strCache>
            </c:strRef>
          </c:cat>
          <c:val>
            <c:numRef>
              <c:f>Sheet1!$C$2:$C$7</c:f>
              <c:numCache>
                <c:formatCode>General</c:formatCode>
                <c:ptCount val="6"/>
                <c:pt idx="0">
                  <c:v>10.7</c:v>
                </c:pt>
                <c:pt idx="1">
                  <c:v>6</c:v>
                </c:pt>
                <c:pt idx="2">
                  <c:v>16.7</c:v>
                </c:pt>
                <c:pt idx="3">
                  <c:v>8.6999999999999993</c:v>
                </c:pt>
                <c:pt idx="4">
                  <c:v>9.25</c:v>
                </c:pt>
                <c:pt idx="5">
                  <c:v>8.8000000000000007</c:v>
                </c:pt>
              </c:numCache>
            </c:numRef>
          </c:val>
          <c:extLst>
            <c:ext xmlns:c16="http://schemas.microsoft.com/office/drawing/2014/chart" uri="{C3380CC4-5D6E-409C-BE32-E72D297353CC}">
              <c16:uniqueId val="{00000001-E488-4422-935C-AA0D0482DFF2}"/>
            </c:ext>
          </c:extLst>
        </c:ser>
        <c:dLbls>
          <c:showLegendKey val="0"/>
          <c:showVal val="0"/>
          <c:showCatName val="0"/>
          <c:showSerName val="0"/>
          <c:showPercent val="0"/>
          <c:showBubbleSize val="0"/>
        </c:dLbls>
        <c:gapWidth val="219"/>
        <c:overlap val="-27"/>
        <c:axId val="447457368"/>
        <c:axId val="447457728"/>
      </c:barChart>
      <c:lineChart>
        <c:grouping val="standard"/>
        <c:varyColors val="0"/>
        <c:ser>
          <c:idx val="2"/>
          <c:order val="2"/>
          <c:tx>
            <c:strRef>
              <c:f>Sheet1!$D$1</c:f>
              <c:strCache>
                <c:ptCount val="1"/>
                <c:pt idx="0">
                  <c:v>Median</c:v>
                </c:pt>
              </c:strCache>
            </c:strRef>
          </c:tx>
          <c:spPr>
            <a:ln w="28575" cap="rnd">
              <a:solidFill>
                <a:schemeClr val="accent3"/>
              </a:solidFill>
              <a:round/>
            </a:ln>
            <a:effectLst/>
          </c:spPr>
          <c:marker>
            <c:symbol val="none"/>
          </c:marker>
          <c:cat>
            <c:strRef>
              <c:f>Sheet1!$A$2:$A$7</c:f>
              <c:strCache>
                <c:ptCount val="6"/>
                <c:pt idx="0">
                  <c:v>Adelong</c:v>
                </c:pt>
                <c:pt idx="1">
                  <c:v>Batlow</c:v>
                </c:pt>
                <c:pt idx="2">
                  <c:v>Khancoban</c:v>
                </c:pt>
                <c:pt idx="3">
                  <c:v>Talbingo</c:v>
                </c:pt>
                <c:pt idx="4">
                  <c:v>Tumbarumba</c:v>
                </c:pt>
                <c:pt idx="5">
                  <c:v>Tumut</c:v>
                </c:pt>
              </c:strCache>
            </c:strRef>
          </c:cat>
          <c:val>
            <c:numRef>
              <c:f>Sheet1!$D$2:$D$7</c:f>
              <c:numCache>
                <c:formatCode>General</c:formatCode>
                <c:ptCount val="6"/>
                <c:pt idx="0">
                  <c:v>1114</c:v>
                </c:pt>
                <c:pt idx="1">
                  <c:v>962</c:v>
                </c:pt>
                <c:pt idx="2">
                  <c:v>1867</c:v>
                </c:pt>
                <c:pt idx="3">
                  <c:v>1115</c:v>
                </c:pt>
                <c:pt idx="4">
                  <c:v>1020</c:v>
                </c:pt>
                <c:pt idx="5">
                  <c:v>954</c:v>
                </c:pt>
              </c:numCache>
            </c:numRef>
          </c:val>
          <c:smooth val="0"/>
          <c:extLst>
            <c:ext xmlns:c16="http://schemas.microsoft.com/office/drawing/2014/chart" uri="{C3380CC4-5D6E-409C-BE32-E72D297353CC}">
              <c16:uniqueId val="{00000002-E488-4422-935C-AA0D0482DFF2}"/>
            </c:ext>
          </c:extLst>
        </c:ser>
        <c:dLbls>
          <c:showLegendKey val="0"/>
          <c:showVal val="0"/>
          <c:showCatName val="0"/>
          <c:showSerName val="0"/>
          <c:showPercent val="0"/>
          <c:showBubbleSize val="0"/>
        </c:dLbls>
        <c:marker val="1"/>
        <c:smooth val="0"/>
        <c:axId val="1099479800"/>
        <c:axId val="1096768416"/>
      </c:lineChart>
      <c:catAx>
        <c:axId val="44745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57728"/>
        <c:crosses val="autoZero"/>
        <c:auto val="1"/>
        <c:lblAlgn val="ctr"/>
        <c:lblOffset val="100"/>
        <c:noMultiLvlLbl val="0"/>
      </c:catAx>
      <c:valAx>
        <c:axId val="44745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57368"/>
        <c:crosses val="autoZero"/>
        <c:crossBetween val="between"/>
      </c:valAx>
      <c:valAx>
        <c:axId val="109676841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479800"/>
        <c:crosses val="max"/>
        <c:crossBetween val="between"/>
      </c:valAx>
      <c:catAx>
        <c:axId val="1099479800"/>
        <c:scaling>
          <c:orientation val="minMax"/>
        </c:scaling>
        <c:delete val="1"/>
        <c:axPos val="b"/>
        <c:numFmt formatCode="General" sourceLinked="1"/>
        <c:majorTickMark val="out"/>
        <c:minorTickMark val="none"/>
        <c:tickLblPos val="nextTo"/>
        <c:crossAx val="1096768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Income Quartile</a:t>
            </a:r>
            <a:r>
              <a:rPr lang="en-AU" baseline="0"/>
              <a:t> Group</a:t>
            </a:r>
            <a:endParaRPr lang="en-AU"/>
          </a:p>
        </c:rich>
      </c:tx>
      <c:layout>
        <c:manualLayout>
          <c:xMode val="edge"/>
          <c:yMode val="edge"/>
          <c:x val="0.4153182414698162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Snowy Valleys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Lowest Group</c:v>
                </c:pt>
                <c:pt idx="1">
                  <c:v>Medium Lowest</c:v>
                </c:pt>
                <c:pt idx="2">
                  <c:v>Medium Highest</c:v>
                </c:pt>
                <c:pt idx="3">
                  <c:v>Highest Group</c:v>
                </c:pt>
                <c:pt idx="4">
                  <c:v> </c:v>
                </c:pt>
              </c:strCache>
            </c:strRef>
          </c:cat>
          <c:val>
            <c:numRef>
              <c:f>Sheet1!$B$2:$B$6</c:f>
              <c:numCache>
                <c:formatCode>General</c:formatCode>
                <c:ptCount val="5"/>
                <c:pt idx="0">
                  <c:v>34.299999999999997</c:v>
                </c:pt>
                <c:pt idx="1">
                  <c:v>29.4</c:v>
                </c:pt>
                <c:pt idx="2">
                  <c:v>23.6</c:v>
                </c:pt>
                <c:pt idx="3">
                  <c:v>12.6</c:v>
                </c:pt>
              </c:numCache>
            </c:numRef>
          </c:val>
          <c:extLst>
            <c:ext xmlns:c16="http://schemas.microsoft.com/office/drawing/2014/chart" uri="{C3380CC4-5D6E-409C-BE32-E72D297353CC}">
              <c16:uniqueId val="{00000000-2D04-4E3C-B9DC-0D6B3B38B17D}"/>
            </c:ext>
          </c:extLst>
        </c:ser>
        <c:ser>
          <c:idx val="1"/>
          <c:order val="1"/>
          <c:tx>
            <c:strRef>
              <c:f>Sheet1!$C$1</c:f>
              <c:strCache>
                <c:ptCount val="1"/>
                <c:pt idx="0">
                  <c:v>Regional NSW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Lowest Group</c:v>
                </c:pt>
                <c:pt idx="1">
                  <c:v>Medium Lowest</c:v>
                </c:pt>
                <c:pt idx="2">
                  <c:v>Medium Highest</c:v>
                </c:pt>
                <c:pt idx="3">
                  <c:v>Highest Group</c:v>
                </c:pt>
                <c:pt idx="4">
                  <c:v> </c:v>
                </c:pt>
              </c:strCache>
            </c:strRef>
          </c:cat>
          <c:val>
            <c:numRef>
              <c:f>Sheet1!$C$2:$C$6</c:f>
              <c:numCache>
                <c:formatCode>General</c:formatCode>
                <c:ptCount val="5"/>
                <c:pt idx="0">
                  <c:v>31.4</c:v>
                </c:pt>
                <c:pt idx="1">
                  <c:v>28.3</c:v>
                </c:pt>
                <c:pt idx="2">
                  <c:v>1.8</c:v>
                </c:pt>
                <c:pt idx="3">
                  <c:v>16.5</c:v>
                </c:pt>
              </c:numCache>
            </c:numRef>
          </c:val>
          <c:extLst>
            <c:ext xmlns:c16="http://schemas.microsoft.com/office/drawing/2014/chart" uri="{C3380CC4-5D6E-409C-BE32-E72D297353CC}">
              <c16:uniqueId val="{00000001-2D04-4E3C-B9DC-0D6B3B38B17D}"/>
            </c:ext>
          </c:extLst>
        </c:ser>
        <c:dLbls>
          <c:showLegendKey val="0"/>
          <c:showVal val="0"/>
          <c:showCatName val="0"/>
          <c:showSerName val="0"/>
          <c:showPercent val="0"/>
          <c:showBubbleSize val="0"/>
        </c:dLbls>
        <c:gapWidth val="219"/>
        <c:overlap val="-27"/>
        <c:axId val="498112736"/>
        <c:axId val="498113816"/>
      </c:barChart>
      <c:catAx>
        <c:axId val="4981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113816"/>
        <c:crosses val="autoZero"/>
        <c:auto val="1"/>
        <c:lblAlgn val="ctr"/>
        <c:lblOffset val="100"/>
        <c:noMultiLvlLbl val="0"/>
      </c:catAx>
      <c:valAx>
        <c:axId val="498113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
                </a:r>
                <a:r>
                  <a:rPr lang="en-AU" baseline="0"/>
                  <a:t> of households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11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AU" sz="1200">
                <a:latin typeface="Avenir Next LT Pro" panose="020B0504020202020204" pitchFamily="34" charset="0"/>
              </a:rPr>
              <a:t>Households</a:t>
            </a:r>
            <a:r>
              <a:rPr lang="en-AU" sz="1200" baseline="0">
                <a:latin typeface="Avenir Next LT Pro" panose="020B0504020202020204" pitchFamily="34" charset="0"/>
              </a:rPr>
              <a:t> With Mortgage Costs &gt;30% of Income 2021</a:t>
            </a:r>
            <a:endParaRPr lang="en-AU" sz="1200">
              <a:latin typeface="Avenir Next LT Pro" panose="020B0504020202020204" pitchFamily="34" charset="0"/>
            </a:endParaRPr>
          </a:p>
        </c:rich>
      </c:tx>
      <c:layout>
        <c:manualLayout>
          <c:xMode val="edge"/>
          <c:yMode val="edge"/>
          <c:x val="0.13537037037037036"/>
          <c:y val="3.5714429501622035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Households In Stress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Tumut</c:v>
                </c:pt>
                <c:pt idx="1">
                  <c:v>Tumut Surrounds - Talbingo</c:v>
                </c:pt>
                <c:pt idx="2">
                  <c:v>Tumbarumba - Khancoban</c:v>
                </c:pt>
                <c:pt idx="3">
                  <c:v>Batlow and Surrounds</c:v>
                </c:pt>
                <c:pt idx="4">
                  <c:v>Adelong and Surrounds</c:v>
                </c:pt>
              </c:strCache>
            </c:strRef>
          </c:cat>
          <c:val>
            <c:numRef>
              <c:f>Sheet1!$B$2:$B$6</c:f>
              <c:numCache>
                <c:formatCode>General</c:formatCode>
                <c:ptCount val="5"/>
                <c:pt idx="0">
                  <c:v>35</c:v>
                </c:pt>
                <c:pt idx="1">
                  <c:v>107</c:v>
                </c:pt>
                <c:pt idx="2">
                  <c:v>27</c:v>
                </c:pt>
                <c:pt idx="3">
                  <c:v>17</c:v>
                </c:pt>
                <c:pt idx="4">
                  <c:v>13</c:v>
                </c:pt>
              </c:numCache>
            </c:numRef>
          </c:val>
          <c:extLst>
            <c:ext xmlns:c16="http://schemas.microsoft.com/office/drawing/2014/chart" uri="{C3380CC4-5D6E-409C-BE32-E72D297353CC}">
              <c16:uniqueId val="{00000000-10E9-486B-844B-23DE605B71D5}"/>
            </c:ext>
          </c:extLst>
        </c:ser>
        <c:ser>
          <c:idx val="1"/>
          <c:order val="1"/>
          <c:tx>
            <c:strRef>
              <c:f>Sheet1!$C$1</c:f>
              <c:strCache>
                <c:ptCount val="1"/>
                <c:pt idx="0">
                  <c:v>Total Households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Tumut</c:v>
                </c:pt>
                <c:pt idx="1">
                  <c:v>Tumut Surrounds - Talbingo</c:v>
                </c:pt>
                <c:pt idx="2">
                  <c:v>Tumbarumba - Khancoban</c:v>
                </c:pt>
                <c:pt idx="3">
                  <c:v>Batlow and Surrounds</c:v>
                </c:pt>
                <c:pt idx="4">
                  <c:v>Adelong and Surrounds</c:v>
                </c:pt>
              </c:strCache>
            </c:strRef>
          </c:cat>
          <c:val>
            <c:numRef>
              <c:f>Sheet1!$C$2:$C$6</c:f>
              <c:numCache>
                <c:formatCode>General</c:formatCode>
                <c:ptCount val="5"/>
                <c:pt idx="0">
                  <c:v>442</c:v>
                </c:pt>
                <c:pt idx="1">
                  <c:v>1151</c:v>
                </c:pt>
                <c:pt idx="2">
                  <c:v>234</c:v>
                </c:pt>
                <c:pt idx="3">
                  <c:v>141</c:v>
                </c:pt>
                <c:pt idx="4">
                  <c:v>126</c:v>
                </c:pt>
              </c:numCache>
            </c:numRef>
          </c:val>
          <c:extLst>
            <c:ext xmlns:c16="http://schemas.microsoft.com/office/drawing/2014/chart" uri="{C3380CC4-5D6E-409C-BE32-E72D297353CC}">
              <c16:uniqueId val="{00000001-10E9-486B-844B-23DE605B71D5}"/>
            </c:ext>
          </c:extLst>
        </c:ser>
        <c:dLbls>
          <c:dLblPos val="ctr"/>
          <c:showLegendKey val="0"/>
          <c:showVal val="1"/>
          <c:showCatName val="0"/>
          <c:showSerName val="0"/>
          <c:showPercent val="0"/>
          <c:showBubbleSize val="0"/>
        </c:dLbls>
        <c:gapWidth val="150"/>
        <c:overlap val="100"/>
        <c:axId val="306403200"/>
        <c:axId val="306404280"/>
      </c:barChart>
      <c:catAx>
        <c:axId val="30640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306404280"/>
        <c:crosses val="autoZero"/>
        <c:auto val="1"/>
        <c:lblAlgn val="ctr"/>
        <c:lblOffset val="100"/>
        <c:noMultiLvlLbl val="0"/>
      </c:catAx>
      <c:valAx>
        <c:axId val="30640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403200"/>
        <c:crosses val="autoZero"/>
        <c:crossBetween val="between"/>
      </c:valAx>
      <c:spPr>
        <a:noFill/>
        <a:ln>
          <a:noFill/>
        </a:ln>
        <a:effectLst/>
      </c:spPr>
    </c:plotArea>
    <c:legend>
      <c:legendPos val="b"/>
      <c:layout>
        <c:manualLayout>
          <c:xMode val="edge"/>
          <c:yMode val="edge"/>
          <c:x val="0.26946704578594349"/>
          <c:y val="0.91319397575303085"/>
          <c:w val="0.44717701953922429"/>
          <c:h val="6.6372145959631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latin typeface="Avenir Next LT Pro" panose="020B0504020202020204" pitchFamily="34" charset="0"/>
              </a:rPr>
              <a:t>Mortgage</a:t>
            </a:r>
            <a:r>
              <a:rPr lang="en-AU" sz="1200" baseline="0">
                <a:latin typeface="Avenir Next LT Pro" panose="020B0504020202020204" pitchFamily="34" charset="0"/>
              </a:rPr>
              <a:t> Payments</a:t>
            </a:r>
            <a:endParaRPr lang="en-AU" sz="1200">
              <a:latin typeface="Avenir Next LT Pro" panose="020B05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Mortgage &lt;30%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Adelong</c:v>
                </c:pt>
                <c:pt idx="1">
                  <c:v>Batlow</c:v>
                </c:pt>
                <c:pt idx="2">
                  <c:v>Khancoban</c:v>
                </c:pt>
                <c:pt idx="3">
                  <c:v>Talbingo</c:v>
                </c:pt>
                <c:pt idx="4">
                  <c:v>Tumbarumba</c:v>
                </c:pt>
                <c:pt idx="5">
                  <c:v>Tumut</c:v>
                </c:pt>
              </c:strCache>
            </c:strRef>
          </c:cat>
          <c:val>
            <c:numRef>
              <c:f>Sheet1!$B$2:$B$8</c:f>
              <c:numCache>
                <c:formatCode>General</c:formatCode>
                <c:ptCount val="7"/>
                <c:pt idx="0">
                  <c:v>78</c:v>
                </c:pt>
                <c:pt idx="1">
                  <c:v>92</c:v>
                </c:pt>
                <c:pt idx="2">
                  <c:v>18</c:v>
                </c:pt>
                <c:pt idx="3">
                  <c:v>9</c:v>
                </c:pt>
                <c:pt idx="4">
                  <c:v>129</c:v>
                </c:pt>
                <c:pt idx="5">
                  <c:v>584</c:v>
                </c:pt>
              </c:numCache>
            </c:numRef>
          </c:val>
          <c:extLst>
            <c:ext xmlns:c16="http://schemas.microsoft.com/office/drawing/2014/chart" uri="{C3380CC4-5D6E-409C-BE32-E72D297353CC}">
              <c16:uniqueId val="{00000000-152E-4E49-AB77-354D99F4176E}"/>
            </c:ext>
          </c:extLst>
        </c:ser>
        <c:ser>
          <c:idx val="1"/>
          <c:order val="1"/>
          <c:tx>
            <c:strRef>
              <c:f>Sheet1!$C$1</c:f>
              <c:strCache>
                <c:ptCount val="1"/>
                <c:pt idx="0">
                  <c:v>Mortgage &gt;30%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Adelong</c:v>
                </c:pt>
                <c:pt idx="1">
                  <c:v>Batlow</c:v>
                </c:pt>
                <c:pt idx="2">
                  <c:v>Khancoban</c:v>
                </c:pt>
                <c:pt idx="3">
                  <c:v>Talbingo</c:v>
                </c:pt>
                <c:pt idx="4">
                  <c:v>Tumbarumba</c:v>
                </c:pt>
                <c:pt idx="5">
                  <c:v>Tumut</c:v>
                </c:pt>
              </c:strCache>
            </c:strRef>
          </c:cat>
          <c:val>
            <c:numRef>
              <c:f>Sheet1!$C$2:$C$8</c:f>
              <c:numCache>
                <c:formatCode>General</c:formatCode>
                <c:ptCount val="7"/>
                <c:pt idx="0">
                  <c:v>11</c:v>
                </c:pt>
                <c:pt idx="1">
                  <c:v>12</c:v>
                </c:pt>
                <c:pt idx="2">
                  <c:v>0</c:v>
                </c:pt>
                <c:pt idx="3">
                  <c:v>3</c:v>
                </c:pt>
                <c:pt idx="4">
                  <c:v>14</c:v>
                </c:pt>
                <c:pt idx="5">
                  <c:v>54</c:v>
                </c:pt>
              </c:numCache>
            </c:numRef>
          </c:val>
          <c:extLst>
            <c:ext xmlns:c16="http://schemas.microsoft.com/office/drawing/2014/chart" uri="{C3380CC4-5D6E-409C-BE32-E72D297353CC}">
              <c16:uniqueId val="{00000001-152E-4E49-AB77-354D99F4176E}"/>
            </c:ext>
          </c:extLst>
        </c:ser>
        <c:ser>
          <c:idx val="2"/>
          <c:order val="2"/>
          <c:tx>
            <c:strRef>
              <c:f>Sheet1!$D$1</c:f>
              <c:strCache>
                <c:ptCount val="1"/>
                <c:pt idx="0">
                  <c:v>Unable to Determine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Adelong</c:v>
                </c:pt>
                <c:pt idx="1">
                  <c:v>Batlow</c:v>
                </c:pt>
                <c:pt idx="2">
                  <c:v>Khancoban</c:v>
                </c:pt>
                <c:pt idx="3">
                  <c:v>Talbingo</c:v>
                </c:pt>
                <c:pt idx="4">
                  <c:v>Tumbarumba</c:v>
                </c:pt>
                <c:pt idx="5">
                  <c:v>Tumut</c:v>
                </c:pt>
              </c:strCache>
            </c:strRef>
          </c:cat>
          <c:val>
            <c:numRef>
              <c:f>Sheet1!$D$2:$D$8</c:f>
              <c:numCache>
                <c:formatCode>General</c:formatCode>
                <c:ptCount val="7"/>
                <c:pt idx="0">
                  <c:v>16</c:v>
                </c:pt>
                <c:pt idx="1">
                  <c:v>11</c:v>
                </c:pt>
                <c:pt idx="2">
                  <c:v>0</c:v>
                </c:pt>
                <c:pt idx="3">
                  <c:v>4</c:v>
                </c:pt>
                <c:pt idx="4">
                  <c:v>26</c:v>
                </c:pt>
                <c:pt idx="5">
                  <c:v>102</c:v>
                </c:pt>
              </c:numCache>
            </c:numRef>
          </c:val>
          <c:extLst>
            <c:ext xmlns:c16="http://schemas.microsoft.com/office/drawing/2014/chart" uri="{C3380CC4-5D6E-409C-BE32-E72D297353CC}">
              <c16:uniqueId val="{00000002-152E-4E49-AB77-354D99F4176E}"/>
            </c:ext>
          </c:extLst>
        </c:ser>
        <c:dLbls>
          <c:showLegendKey val="0"/>
          <c:showVal val="0"/>
          <c:showCatName val="0"/>
          <c:showSerName val="0"/>
          <c:showPercent val="0"/>
          <c:showBubbleSize val="0"/>
        </c:dLbls>
        <c:gapWidth val="150"/>
        <c:overlap val="100"/>
        <c:axId val="871722672"/>
        <c:axId val="871722312"/>
      </c:barChart>
      <c:catAx>
        <c:axId val="871722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722312"/>
        <c:crosses val="autoZero"/>
        <c:auto val="1"/>
        <c:lblAlgn val="ctr"/>
        <c:lblOffset val="100"/>
        <c:noMultiLvlLbl val="0"/>
      </c:catAx>
      <c:valAx>
        <c:axId val="871722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72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n-AU" sz="1200">
                <a:latin typeface="Avenir Next LT Pro" panose="020B0504020202020204" pitchFamily="34" charset="0"/>
              </a:rPr>
              <a:t>Median</a:t>
            </a:r>
            <a:r>
              <a:rPr lang="en-AU" sz="1200" baseline="0">
                <a:latin typeface="Avenir Next LT Pro" panose="020B0504020202020204" pitchFamily="34" charset="0"/>
              </a:rPr>
              <a:t> Weekly Rent</a:t>
            </a:r>
          </a:p>
          <a:p>
            <a:pPr algn="ctr">
              <a:defRPr sz="1200"/>
            </a:pPr>
            <a:r>
              <a:rPr lang="en-AU" sz="1200" baseline="0">
                <a:latin typeface="Avenir Next LT Pro" panose="020B0504020202020204" pitchFamily="34" charset="0"/>
              </a:rPr>
              <a:t>Median Monthly Mortgage</a:t>
            </a:r>
            <a:endParaRPr lang="en-AU" sz="1200">
              <a:latin typeface="Avenir Next LT Pro" panose="020B0504020202020204" pitchFamily="34" charset="0"/>
            </a:endParaRPr>
          </a:p>
        </c:rich>
      </c:tx>
      <c:layout>
        <c:manualLayout>
          <c:xMode val="edge"/>
          <c:yMode val="edge"/>
          <c:x val="0.30883675998833482"/>
          <c:y val="2.3809523809523808E-2"/>
        </c:manualLayout>
      </c:layout>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Median Weekly Rent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Adelong</c:v>
                </c:pt>
                <c:pt idx="1">
                  <c:v>Batlow</c:v>
                </c:pt>
                <c:pt idx="2">
                  <c:v>Khancoban</c:v>
                </c:pt>
                <c:pt idx="3">
                  <c:v>Talbingo</c:v>
                </c:pt>
                <c:pt idx="4">
                  <c:v>Tumbarumba</c:v>
                </c:pt>
                <c:pt idx="5">
                  <c:v>Tumut</c:v>
                </c:pt>
              </c:strCache>
            </c:strRef>
          </c:cat>
          <c:val>
            <c:numRef>
              <c:f>Sheet1!$B$2:$B$7</c:f>
              <c:numCache>
                <c:formatCode>General</c:formatCode>
                <c:ptCount val="6"/>
                <c:pt idx="0">
                  <c:v>200</c:v>
                </c:pt>
                <c:pt idx="1">
                  <c:v>195</c:v>
                </c:pt>
                <c:pt idx="2">
                  <c:v>195</c:v>
                </c:pt>
                <c:pt idx="3">
                  <c:v>190</c:v>
                </c:pt>
                <c:pt idx="4">
                  <c:v>220</c:v>
                </c:pt>
                <c:pt idx="5">
                  <c:v>245</c:v>
                </c:pt>
              </c:numCache>
            </c:numRef>
          </c:val>
          <c:extLst>
            <c:ext xmlns:c16="http://schemas.microsoft.com/office/drawing/2014/chart" uri="{C3380CC4-5D6E-409C-BE32-E72D297353CC}">
              <c16:uniqueId val="{00000000-B7C9-44FA-8D5F-21419A217C66}"/>
            </c:ext>
          </c:extLst>
        </c:ser>
        <c:ser>
          <c:idx val="1"/>
          <c:order val="1"/>
          <c:tx>
            <c:strRef>
              <c:f>Sheet1!$C$1</c:f>
              <c:strCache>
                <c:ptCount val="1"/>
                <c:pt idx="0">
                  <c:v>Median Monthly Mortgage Repayments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Adelong</c:v>
                </c:pt>
                <c:pt idx="1">
                  <c:v>Batlow</c:v>
                </c:pt>
                <c:pt idx="2">
                  <c:v>Khancoban</c:v>
                </c:pt>
                <c:pt idx="3">
                  <c:v>Talbingo</c:v>
                </c:pt>
                <c:pt idx="4">
                  <c:v>Tumbarumba</c:v>
                </c:pt>
                <c:pt idx="5">
                  <c:v>Tumut</c:v>
                </c:pt>
              </c:strCache>
            </c:strRef>
          </c:cat>
          <c:val>
            <c:numRef>
              <c:f>Sheet1!$C$2:$C$7</c:f>
              <c:numCache>
                <c:formatCode>General</c:formatCode>
                <c:ptCount val="6"/>
                <c:pt idx="0">
                  <c:v>1138</c:v>
                </c:pt>
                <c:pt idx="1">
                  <c:v>867</c:v>
                </c:pt>
                <c:pt idx="2">
                  <c:v>914</c:v>
                </c:pt>
                <c:pt idx="3">
                  <c:v>1224</c:v>
                </c:pt>
                <c:pt idx="4">
                  <c:v>1129</c:v>
                </c:pt>
                <c:pt idx="5">
                  <c:v>1300</c:v>
                </c:pt>
              </c:numCache>
            </c:numRef>
          </c:val>
          <c:extLst>
            <c:ext xmlns:c16="http://schemas.microsoft.com/office/drawing/2014/chart" uri="{C3380CC4-5D6E-409C-BE32-E72D297353CC}">
              <c16:uniqueId val="{00000001-B7C9-44FA-8D5F-21419A217C66}"/>
            </c:ext>
          </c:extLst>
        </c:ser>
        <c:dLbls>
          <c:showLegendKey val="0"/>
          <c:showVal val="0"/>
          <c:showCatName val="0"/>
          <c:showSerName val="0"/>
          <c:showPercent val="0"/>
          <c:showBubbleSize val="0"/>
        </c:dLbls>
        <c:gapWidth val="219"/>
        <c:overlap val="-27"/>
        <c:axId val="611119904"/>
        <c:axId val="880382400"/>
      </c:barChart>
      <c:catAx>
        <c:axId val="61111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880382400"/>
        <c:crosses val="autoZero"/>
        <c:auto val="1"/>
        <c:lblAlgn val="ctr"/>
        <c:lblOffset val="100"/>
        <c:noMultiLvlLbl val="0"/>
      </c:catAx>
      <c:valAx>
        <c:axId val="88038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11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0.36343</cdr:x>
      <cdr:y>0.90079</cdr:y>
    </cdr:from>
    <cdr:to>
      <cdr:x>0.44329</cdr:x>
      <cdr:y>0.96627</cdr:y>
    </cdr:to>
    <cdr:sp macro="" textlink="">
      <cdr:nvSpPr>
        <cdr:cNvPr id="2" name="Text Box 1"/>
        <cdr:cNvSpPr txBox="1"/>
      </cdr:nvSpPr>
      <cdr:spPr>
        <a:xfrm xmlns:a="http://schemas.openxmlformats.org/drawingml/2006/main">
          <a:off x="1993900" y="2882900"/>
          <a:ext cx="438150" cy="2095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900" kern="100">
              <a:effectLst/>
              <a:latin typeface="Calibri" panose="020F0502020204030204" pitchFamily="34" charset="0"/>
              <a:ea typeface="Calibri" panose="020F0502020204030204" pitchFamily="34" charset="0"/>
              <a:cs typeface="Times New Roman" panose="02020603050405020304" pitchFamily="18" charset="0"/>
            </a:rPr>
            <a:t>Low</a:t>
          </a:r>
          <a:endParaRPr lang="en-AU" sz="1100"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EB3A-12FC-4487-A5D0-B83AFA05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Linda</dc:creator>
  <cp:keywords/>
  <dc:description/>
  <cp:lastModifiedBy>Quilty, Jessica</cp:lastModifiedBy>
  <cp:revision>2</cp:revision>
  <cp:lastPrinted>2024-01-16T02:53:00Z</cp:lastPrinted>
  <dcterms:created xsi:type="dcterms:W3CDTF">2024-02-04T23:26:00Z</dcterms:created>
  <dcterms:modified xsi:type="dcterms:W3CDTF">2024-02-04T23:26:00Z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cb4b8d-ca21-4b2e-a1fe-d6f4fb628040_Enabled">
    <vt:lpwstr>true</vt:lpwstr>
  </property>
  <property fmtid="{D5CDD505-2E9C-101B-9397-08002B2CF9AE}" pid="3" name="MSIP_Label_e2cb4b8d-ca21-4b2e-a1fe-d6f4fb628040_SetDate">
    <vt:lpwstr>2023-10-12T06:56:50Z</vt:lpwstr>
  </property>
  <property fmtid="{D5CDD505-2E9C-101B-9397-08002B2CF9AE}" pid="4" name="MSIP_Label_e2cb4b8d-ca21-4b2e-a1fe-d6f4fb628040_Method">
    <vt:lpwstr>Standard</vt:lpwstr>
  </property>
  <property fmtid="{D5CDD505-2E9C-101B-9397-08002B2CF9AE}" pid="5" name="MSIP_Label_e2cb4b8d-ca21-4b2e-a1fe-d6f4fb628040_Name">
    <vt:lpwstr>defa4170-0d19-0005-0004-bc88714345d2</vt:lpwstr>
  </property>
  <property fmtid="{D5CDD505-2E9C-101B-9397-08002B2CF9AE}" pid="6" name="MSIP_Label_e2cb4b8d-ca21-4b2e-a1fe-d6f4fb628040_SiteId">
    <vt:lpwstr>b185bd14-8d2d-4fe8-b33c-16c053e97fb7</vt:lpwstr>
  </property>
  <property fmtid="{D5CDD505-2E9C-101B-9397-08002B2CF9AE}" pid="7" name="MSIP_Label_e2cb4b8d-ca21-4b2e-a1fe-d6f4fb628040_ActionId">
    <vt:lpwstr>85790ac5-2eb5-447d-b851-75c3e6034ea3</vt:lpwstr>
  </property>
  <property fmtid="{D5CDD505-2E9C-101B-9397-08002B2CF9AE}" pid="8" name="MSIP_Label_e2cb4b8d-ca21-4b2e-a1fe-d6f4fb628040_ContentBits">
    <vt:lpwstr>0</vt:lpwstr>
  </property>
</Properties>
</file>