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79" w:rsidRPr="00023937" w:rsidRDefault="005533F2" w:rsidP="00893E42">
      <w:pPr>
        <w:pStyle w:val="Heading1"/>
        <w:jc w:val="center"/>
      </w:pPr>
      <w:bookmarkStart w:id="0" w:name="_GoBack"/>
      <w:bookmarkEnd w:id="0"/>
      <w:r>
        <w:t>Shoalhaven City Council</w:t>
      </w:r>
    </w:p>
    <w:p w:rsidR="000A7B79" w:rsidRPr="001A2B7D" w:rsidRDefault="000A7B79" w:rsidP="00893E42">
      <w:pPr>
        <w:pStyle w:val="Heading1"/>
        <w:jc w:val="center"/>
      </w:pPr>
    </w:p>
    <w:p w:rsidR="000A7B79" w:rsidRPr="00023937" w:rsidRDefault="000A7B79" w:rsidP="00893E42">
      <w:pPr>
        <w:pStyle w:val="Heading1"/>
        <w:jc w:val="center"/>
      </w:pPr>
      <w:bookmarkStart w:id="1" w:name="_Toc326915862"/>
      <w:bookmarkStart w:id="2" w:name="_Toc326916121"/>
      <w:r w:rsidRPr="00023937">
        <w:t>Financial Assessment and Benchmarking Report</w:t>
      </w:r>
      <w:bookmarkEnd w:id="1"/>
      <w:bookmarkEnd w:id="2"/>
    </w:p>
    <w:p w:rsidR="000A7B79" w:rsidRPr="001A2B7D" w:rsidRDefault="000A7B79" w:rsidP="00E5674B">
      <w:pPr>
        <w:pStyle w:val="Heading1"/>
        <w:jc w:val="center"/>
      </w:pPr>
    </w:p>
    <w:p w:rsidR="000A7B79" w:rsidRPr="001A2B7D" w:rsidRDefault="000A7B79" w:rsidP="000A7B79">
      <w:pPr>
        <w:spacing w:before="0" w:after="200" w:line="276" w:lineRule="auto"/>
        <w:jc w:val="center"/>
        <w:rPr>
          <w:b/>
        </w:rPr>
      </w:pPr>
    </w:p>
    <w:p w:rsidR="000A7B79" w:rsidRPr="001A2B7D" w:rsidRDefault="000A7B79" w:rsidP="000A7B79">
      <w:pPr>
        <w:spacing w:before="0" w:after="200" w:line="276" w:lineRule="auto"/>
        <w:jc w:val="center"/>
        <w:rPr>
          <w:b/>
        </w:rPr>
      </w:pPr>
    </w:p>
    <w:p w:rsidR="000A7B79" w:rsidRPr="001A2B7D" w:rsidRDefault="000A7B79" w:rsidP="000A7B79">
      <w:pPr>
        <w:spacing w:before="0" w:after="200" w:line="276" w:lineRule="auto"/>
        <w:jc w:val="center"/>
        <w:rPr>
          <w:b/>
        </w:rPr>
      </w:pPr>
    </w:p>
    <w:p w:rsidR="000A7B79" w:rsidRPr="001A2B7D" w:rsidRDefault="000A7B79" w:rsidP="000A7B79">
      <w:pPr>
        <w:spacing w:before="0" w:after="200" w:line="276" w:lineRule="auto"/>
        <w:jc w:val="center"/>
        <w:rPr>
          <w:b/>
        </w:rPr>
      </w:pPr>
    </w:p>
    <w:p w:rsidR="000A7B79" w:rsidRPr="001A2B7D" w:rsidRDefault="000A7B79" w:rsidP="000A7B79">
      <w:pPr>
        <w:spacing w:before="0" w:after="200" w:line="276" w:lineRule="auto"/>
        <w:jc w:val="center"/>
        <w:rPr>
          <w:b/>
        </w:rPr>
      </w:pPr>
    </w:p>
    <w:p w:rsidR="000A7B79" w:rsidRPr="001A2B7D" w:rsidRDefault="006B621E" w:rsidP="000A7B79">
      <w:pPr>
        <w:spacing w:before="0" w:after="200" w:line="276" w:lineRule="auto"/>
        <w:jc w:val="center"/>
        <w:rPr>
          <w:b/>
        </w:rPr>
      </w:pPr>
      <w:r>
        <w:rPr>
          <w:b/>
        </w:rPr>
        <w:t>5</w:t>
      </w:r>
      <w:r w:rsidR="000D3611">
        <w:rPr>
          <w:b/>
        </w:rPr>
        <w:t xml:space="preserve"> </w:t>
      </w:r>
      <w:r w:rsidR="00EF00FF">
        <w:rPr>
          <w:b/>
        </w:rPr>
        <w:t>October</w:t>
      </w:r>
      <w:r w:rsidR="000D3611">
        <w:rPr>
          <w:b/>
        </w:rPr>
        <w:t xml:space="preserve"> 2012</w:t>
      </w:r>
    </w:p>
    <w:p w:rsidR="000A7B79" w:rsidRPr="001A2B7D" w:rsidRDefault="000A7B79" w:rsidP="000A7B79">
      <w:pPr>
        <w:spacing w:before="0" w:after="200" w:line="276" w:lineRule="auto"/>
        <w:jc w:val="center"/>
        <w:rPr>
          <w:b/>
        </w:rPr>
      </w:pPr>
    </w:p>
    <w:p w:rsidR="000A7B79" w:rsidRDefault="000A7B79" w:rsidP="00703145">
      <w:pPr>
        <w:rPr>
          <w:b/>
        </w:rPr>
      </w:pPr>
      <w:bookmarkStart w:id="3" w:name="_Toc326915863"/>
      <w:bookmarkStart w:id="4" w:name="_Toc326916122"/>
      <w:r w:rsidRPr="001A2B7D">
        <w:rPr>
          <w:b/>
        </w:rPr>
        <w:t>Prepared by NSW Treasury Corporation as part of the Local Infrastructure Renewal Scheme</w:t>
      </w:r>
      <w:bookmarkEnd w:id="3"/>
      <w:bookmarkEnd w:id="4"/>
    </w:p>
    <w:p w:rsidR="000A7B79" w:rsidRPr="00701D01" w:rsidRDefault="000A7B79" w:rsidP="00893E42">
      <w:pPr>
        <w:pStyle w:val="Heading1"/>
      </w:pPr>
      <w:r>
        <w:rPr>
          <w:b w:val="0"/>
        </w:rPr>
        <w:br w:type="page"/>
      </w:r>
      <w:bookmarkStart w:id="5" w:name="_Toc326915864"/>
      <w:bookmarkStart w:id="6" w:name="_Toc326916123"/>
      <w:r w:rsidRPr="00701D01">
        <w:lastRenderedPageBreak/>
        <w:t>Disclaimer</w:t>
      </w:r>
      <w:bookmarkEnd w:id="5"/>
      <w:bookmarkEnd w:id="6"/>
    </w:p>
    <w:p w:rsidR="000A7B79" w:rsidRPr="00893E42" w:rsidRDefault="000A7B79" w:rsidP="00893E42">
      <w:pPr>
        <w:pStyle w:val="Heading3"/>
        <w:rPr>
          <w:u w:val="none"/>
        </w:rPr>
      </w:pPr>
      <w:r w:rsidRPr="00893E42">
        <w:rPr>
          <w:u w:val="none"/>
        </w:rPr>
        <w:t>This report has been prepared by New South Wales Treasury Corporation (</w:t>
      </w:r>
      <w:proofErr w:type="spellStart"/>
      <w:r w:rsidRPr="00893E42">
        <w:rPr>
          <w:u w:val="none"/>
        </w:rPr>
        <w:t>TCorp</w:t>
      </w:r>
      <w:proofErr w:type="spellEnd"/>
      <w:r w:rsidRPr="00893E42">
        <w:rPr>
          <w:u w:val="none"/>
        </w:rPr>
        <w:t xml:space="preserve">) in accordance with the appointment of </w:t>
      </w:r>
      <w:proofErr w:type="spellStart"/>
      <w:r w:rsidRPr="00893E42">
        <w:rPr>
          <w:u w:val="none"/>
        </w:rPr>
        <w:t>TCorp</w:t>
      </w:r>
      <w:proofErr w:type="spellEnd"/>
      <w:r w:rsidRPr="00893E42">
        <w:rPr>
          <w:u w:val="none"/>
        </w:rPr>
        <w:t xml:space="preserve"> by the Division of Local Government (DLG) as detailed in </w:t>
      </w:r>
      <w:proofErr w:type="spellStart"/>
      <w:r w:rsidRPr="00893E42">
        <w:rPr>
          <w:u w:val="none"/>
        </w:rPr>
        <w:t>TCorp’s</w:t>
      </w:r>
      <w:proofErr w:type="spellEnd"/>
      <w:r w:rsidRPr="00893E42">
        <w:rPr>
          <w:u w:val="none"/>
        </w:rPr>
        <w:t xml:space="preserve"> letter</w:t>
      </w:r>
      <w:r w:rsidR="00041024">
        <w:rPr>
          <w:u w:val="none"/>
        </w:rPr>
        <w:t>s</w:t>
      </w:r>
      <w:r w:rsidRPr="00893E42">
        <w:rPr>
          <w:u w:val="none"/>
        </w:rPr>
        <w:t xml:space="preserve"> of </w:t>
      </w:r>
      <w:r w:rsidRPr="00893E42">
        <w:rPr>
          <w:u w:val="none"/>
        </w:rPr>
        <w:br/>
        <w:t>22 December 2011</w:t>
      </w:r>
      <w:r w:rsidR="00041024">
        <w:rPr>
          <w:u w:val="none"/>
        </w:rPr>
        <w:t xml:space="preserve"> and 28 May 2012</w:t>
      </w:r>
      <w:r w:rsidRPr="00893E42">
        <w:rPr>
          <w:u w:val="none"/>
        </w:rPr>
        <w:t>.</w:t>
      </w:r>
      <w:r w:rsidR="008027C9">
        <w:rPr>
          <w:u w:val="none"/>
        </w:rPr>
        <w:t xml:space="preserve"> </w:t>
      </w:r>
      <w:r w:rsidRPr="00893E42">
        <w:rPr>
          <w:u w:val="none"/>
        </w:rPr>
        <w:t xml:space="preserve"> The report has been prepared as part of the Local Infrastructure Renewal Scheme (LIRS) announced by the NSW Government.</w:t>
      </w:r>
    </w:p>
    <w:p w:rsidR="000A7B79" w:rsidRPr="00893E42" w:rsidRDefault="000A7B79" w:rsidP="00893E42">
      <w:pPr>
        <w:pStyle w:val="Heading3"/>
        <w:rPr>
          <w:u w:val="none"/>
        </w:rPr>
      </w:pPr>
      <w:r w:rsidRPr="00893E42">
        <w:rPr>
          <w:u w:val="none"/>
        </w:rPr>
        <w:t xml:space="preserve">The report has been prepared based on information provided to </w:t>
      </w:r>
      <w:proofErr w:type="spellStart"/>
      <w:r w:rsidRPr="00893E42">
        <w:rPr>
          <w:u w:val="none"/>
        </w:rPr>
        <w:t>TCorp</w:t>
      </w:r>
      <w:proofErr w:type="spellEnd"/>
      <w:r w:rsidRPr="00893E42">
        <w:rPr>
          <w:u w:val="none"/>
        </w:rPr>
        <w:t xml:space="preserve"> as set out in </w:t>
      </w:r>
      <w:r w:rsidR="006651F6" w:rsidRPr="00893E42">
        <w:rPr>
          <w:u w:val="none"/>
        </w:rPr>
        <w:t>Section 2.2 of</w:t>
      </w:r>
      <w:r w:rsidRPr="00893E42">
        <w:rPr>
          <w:u w:val="none"/>
        </w:rPr>
        <w:t xml:space="preserve"> this report.</w:t>
      </w:r>
      <w:r w:rsidR="008027C9">
        <w:rPr>
          <w:u w:val="none"/>
        </w:rPr>
        <w:t xml:space="preserve">  </w:t>
      </w:r>
      <w:proofErr w:type="spellStart"/>
      <w:r w:rsidRPr="00893E42">
        <w:rPr>
          <w:u w:val="none"/>
        </w:rPr>
        <w:t>TCorp</w:t>
      </w:r>
      <w:proofErr w:type="spellEnd"/>
      <w:r w:rsidRPr="00893E42">
        <w:rPr>
          <w:u w:val="none"/>
        </w:rPr>
        <w:t xml:space="preserve"> has relied on this information and has not verified or audited the accuracy, reliability or currency of the information provided to it for the purpose of preparation of the report.</w:t>
      </w:r>
      <w:r w:rsidR="008027C9">
        <w:rPr>
          <w:u w:val="none"/>
        </w:rPr>
        <w:t xml:space="preserve">  </w:t>
      </w:r>
      <w:proofErr w:type="spellStart"/>
      <w:r w:rsidRPr="00893E42">
        <w:rPr>
          <w:u w:val="none"/>
        </w:rPr>
        <w:t>TCorp</w:t>
      </w:r>
      <w:proofErr w:type="spellEnd"/>
      <w:r w:rsidRPr="00893E42">
        <w:rPr>
          <w:u w:val="none"/>
        </w:rPr>
        <w:t xml:space="preserve"> and its directors, officers and employees make no representation as to the accuracy, reliability or completeness of the information contained in the report.</w:t>
      </w:r>
    </w:p>
    <w:p w:rsidR="000A7B79" w:rsidRPr="00893E42" w:rsidRDefault="000A7B79" w:rsidP="00893E42">
      <w:pPr>
        <w:pStyle w:val="Heading3"/>
        <w:rPr>
          <w:u w:val="none"/>
        </w:rPr>
      </w:pPr>
      <w:r w:rsidRPr="00893E42">
        <w:rPr>
          <w:u w:val="none"/>
        </w:rPr>
        <w:t xml:space="preserve">In addition, </w:t>
      </w:r>
      <w:proofErr w:type="spellStart"/>
      <w:r w:rsidRPr="00893E42">
        <w:rPr>
          <w:u w:val="none"/>
        </w:rPr>
        <w:t>TCorp</w:t>
      </w:r>
      <w:proofErr w:type="spellEnd"/>
      <w:r w:rsidRPr="00893E42">
        <w:rPr>
          <w:u w:val="none"/>
        </w:rPr>
        <w:t xml:space="preserve"> does not warrant or guarantee the outcomes or projections contained in this report.   The projections and outcomes contained in the report do not necessarily take into consideration the commercial risks, various external factors or the possibility of poor performance by the Council all of which may negatively impact the financial capability and sustainability of the Council.</w:t>
      </w:r>
      <w:r w:rsidR="008027C9">
        <w:rPr>
          <w:u w:val="none"/>
        </w:rPr>
        <w:t xml:space="preserve">  </w:t>
      </w:r>
      <w:r w:rsidRPr="00893E42">
        <w:rPr>
          <w:u w:val="none"/>
        </w:rPr>
        <w:t xml:space="preserve">The </w:t>
      </w:r>
      <w:proofErr w:type="spellStart"/>
      <w:r w:rsidRPr="00893E42">
        <w:rPr>
          <w:u w:val="none"/>
        </w:rPr>
        <w:t>TCorp</w:t>
      </w:r>
      <w:proofErr w:type="spellEnd"/>
      <w:r w:rsidRPr="00893E42">
        <w:rPr>
          <w:u w:val="none"/>
        </w:rPr>
        <w:t xml:space="preserve"> report focuses on whether the Council has reasonable capacity, based on the information provided to </w:t>
      </w:r>
      <w:proofErr w:type="spellStart"/>
      <w:r w:rsidRPr="00893E42">
        <w:rPr>
          <w:u w:val="none"/>
        </w:rPr>
        <w:t>TCorp</w:t>
      </w:r>
      <w:proofErr w:type="spellEnd"/>
      <w:r w:rsidRPr="00893E42">
        <w:rPr>
          <w:u w:val="none"/>
        </w:rPr>
        <w:t>, to take on additional borrowings within prudent risk parameters and the limits of its financial projections.</w:t>
      </w:r>
    </w:p>
    <w:p w:rsidR="000A7B79" w:rsidRPr="00893E42" w:rsidRDefault="000A7B79" w:rsidP="00893E42">
      <w:pPr>
        <w:pStyle w:val="Heading3"/>
        <w:rPr>
          <w:u w:val="none"/>
        </w:rPr>
      </w:pPr>
      <w:r w:rsidRPr="00893E42">
        <w:rPr>
          <w:u w:val="none"/>
        </w:rPr>
        <w:t xml:space="preserve">The report has been prepared for </w:t>
      </w:r>
      <w:r w:rsidR="00E72C4F">
        <w:rPr>
          <w:u w:val="none"/>
        </w:rPr>
        <w:t xml:space="preserve">Shoalhaven City </w:t>
      </w:r>
      <w:r w:rsidRPr="00893E42">
        <w:rPr>
          <w:u w:val="none"/>
        </w:rPr>
        <w:t>Council, the LIRS Assessment Panel and the DLG.</w:t>
      </w:r>
      <w:r w:rsidR="008027C9">
        <w:rPr>
          <w:u w:val="none"/>
        </w:rPr>
        <w:t xml:space="preserve">  </w:t>
      </w:r>
      <w:proofErr w:type="spellStart"/>
      <w:r w:rsidRPr="00893E42">
        <w:rPr>
          <w:u w:val="none"/>
        </w:rPr>
        <w:t>TCorp</w:t>
      </w:r>
      <w:proofErr w:type="spellEnd"/>
      <w:r w:rsidRPr="00893E42">
        <w:rPr>
          <w:u w:val="none"/>
        </w:rPr>
        <w:t xml:space="preserve"> shall not be liable to </w:t>
      </w:r>
      <w:r w:rsidR="00E72C4F">
        <w:rPr>
          <w:u w:val="none"/>
        </w:rPr>
        <w:t xml:space="preserve">Shoalhaven City </w:t>
      </w:r>
      <w:r w:rsidR="00E72C4F" w:rsidRPr="00893E42">
        <w:rPr>
          <w:u w:val="none"/>
        </w:rPr>
        <w:t>Council</w:t>
      </w:r>
      <w:r w:rsidRPr="00893E42">
        <w:rPr>
          <w:u w:val="none"/>
        </w:rPr>
        <w:t xml:space="preserve"> or have any liability to any third party under the law of contract, tort and the principles of restitution or unjust enrichment or otherwise for any loss, expense or damage which may arise from or be incurred or suffered as a result of reliance on anything contained in this report.</w:t>
      </w:r>
    </w:p>
    <w:p w:rsidR="000A2081" w:rsidRPr="00893E42" w:rsidRDefault="000A2081" w:rsidP="00893E42">
      <w:pPr>
        <w:pStyle w:val="Heading3"/>
        <w:rPr>
          <w:u w:val="none"/>
        </w:rPr>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0A2081" w:rsidRDefault="000A2081" w:rsidP="000A7B79">
      <w:pPr>
        <w:spacing w:before="220" w:after="220" w:line="276" w:lineRule="auto"/>
        <w:jc w:val="left"/>
      </w:pPr>
    </w:p>
    <w:p w:rsidR="005672E3" w:rsidRDefault="00893E42" w:rsidP="00893E42">
      <w:pPr>
        <w:pStyle w:val="Heading1"/>
      </w:pPr>
      <w:r>
        <w:lastRenderedPageBreak/>
        <w:t>Index</w:t>
      </w:r>
    </w:p>
    <w:p w:rsidR="003C4520" w:rsidRPr="003C4520" w:rsidRDefault="003A353B" w:rsidP="003C4520">
      <w:pPr>
        <w:pStyle w:val="TOC1"/>
        <w:tabs>
          <w:tab w:val="left" w:pos="1100"/>
          <w:tab w:val="right" w:leader="dot" w:pos="8188"/>
        </w:tabs>
        <w:spacing w:before="220" w:after="220"/>
        <w:rPr>
          <w:rFonts w:ascii="Arial Narrow" w:hAnsi="Arial Narrow"/>
          <w:noProof/>
          <w:lang w:val="en-AU" w:eastAsia="en-AU"/>
        </w:rPr>
      </w:pPr>
      <w:r>
        <w:fldChar w:fldCharType="begin"/>
      </w:r>
      <w:r w:rsidR="005672E3">
        <w:instrText xml:space="preserve"> TOC \o "1-3" \h \z \u </w:instrText>
      </w:r>
      <w:r>
        <w:fldChar w:fldCharType="separate"/>
      </w:r>
      <w:hyperlink w:anchor="_Toc326918011" w:history="1">
        <w:r w:rsidR="003C4520" w:rsidRPr="003C4520">
          <w:rPr>
            <w:rStyle w:val="Hyperlink"/>
            <w:rFonts w:ascii="Arial Narrow" w:hAnsi="Arial Narrow"/>
            <w:noProof/>
          </w:rPr>
          <w:t>Section 1</w:t>
        </w:r>
        <w:r w:rsidR="003C4520" w:rsidRPr="003C4520">
          <w:rPr>
            <w:rFonts w:ascii="Arial Narrow" w:hAnsi="Arial Narrow"/>
            <w:noProof/>
            <w:lang w:val="en-AU" w:eastAsia="en-AU"/>
          </w:rPr>
          <w:tab/>
        </w:r>
        <w:r w:rsidR="003C4520" w:rsidRPr="003C4520">
          <w:rPr>
            <w:rStyle w:val="Hyperlink"/>
            <w:rFonts w:ascii="Arial Narrow" w:hAnsi="Arial Narrow"/>
            <w:noProof/>
          </w:rPr>
          <w:t>Executive Summary</w:t>
        </w:r>
        <w:r w:rsidR="003C4520" w:rsidRPr="003C4520">
          <w:rPr>
            <w:rFonts w:ascii="Arial Narrow" w:hAnsi="Arial Narrow"/>
            <w:noProof/>
            <w:webHidden/>
          </w:rPr>
          <w:tab/>
        </w:r>
        <w:r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_Toc326918011 \h </w:instrText>
        </w:r>
        <w:r w:rsidRPr="003C4520">
          <w:rPr>
            <w:rFonts w:ascii="Arial Narrow" w:hAnsi="Arial Narrow"/>
            <w:noProof/>
            <w:webHidden/>
          </w:rPr>
        </w:r>
        <w:r w:rsidRPr="003C4520">
          <w:rPr>
            <w:rFonts w:ascii="Arial Narrow" w:hAnsi="Arial Narrow"/>
            <w:noProof/>
            <w:webHidden/>
          </w:rPr>
          <w:fldChar w:fldCharType="separate"/>
        </w:r>
        <w:r w:rsidR="006B621E">
          <w:rPr>
            <w:rFonts w:ascii="Arial Narrow" w:hAnsi="Arial Narrow"/>
            <w:noProof/>
            <w:webHidden/>
          </w:rPr>
          <w:t>4</w:t>
        </w:r>
        <w:r w:rsidRPr="003C4520">
          <w:rPr>
            <w:rFonts w:ascii="Arial Narrow" w:hAnsi="Arial Narrow"/>
            <w:noProof/>
            <w:webHidden/>
          </w:rPr>
          <w:fldChar w:fldCharType="end"/>
        </w:r>
      </w:hyperlink>
    </w:p>
    <w:p w:rsidR="003C4520" w:rsidRPr="003C4520" w:rsidRDefault="00401AD3" w:rsidP="003C4520">
      <w:pPr>
        <w:pStyle w:val="TOC1"/>
        <w:tabs>
          <w:tab w:val="left" w:pos="1100"/>
          <w:tab w:val="right" w:leader="dot" w:pos="8188"/>
        </w:tabs>
        <w:spacing w:before="220" w:after="220"/>
        <w:rPr>
          <w:rFonts w:ascii="Arial Narrow" w:hAnsi="Arial Narrow"/>
          <w:noProof/>
          <w:lang w:val="en-AU" w:eastAsia="en-AU"/>
        </w:rPr>
      </w:pPr>
      <w:hyperlink w:anchor="_Toc326918012" w:history="1">
        <w:r w:rsidR="003C4520" w:rsidRPr="003C4520">
          <w:rPr>
            <w:rStyle w:val="Hyperlink"/>
            <w:rFonts w:ascii="Arial Narrow" w:hAnsi="Arial Narrow"/>
            <w:noProof/>
          </w:rPr>
          <w:t>Section 2</w:t>
        </w:r>
        <w:r w:rsidR="003C4520" w:rsidRPr="003C4520">
          <w:rPr>
            <w:rFonts w:ascii="Arial Narrow" w:hAnsi="Arial Narrow"/>
            <w:noProof/>
            <w:lang w:val="en-AU" w:eastAsia="en-AU"/>
          </w:rPr>
          <w:tab/>
        </w:r>
        <w:r w:rsidR="003C4520" w:rsidRPr="003C4520">
          <w:rPr>
            <w:rStyle w:val="Hyperlink"/>
            <w:rFonts w:ascii="Arial Narrow" w:hAnsi="Arial Narrow"/>
            <w:noProof/>
          </w:rPr>
          <w:t>Introduction</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_Toc326918012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4</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13" w:history="1">
        <w:r w:rsidR="003C4520" w:rsidRPr="003C4520">
          <w:rPr>
            <w:rStyle w:val="Hyperlink"/>
            <w:rFonts w:ascii="Arial Narrow" w:hAnsi="Arial Narrow"/>
            <w:noProof/>
          </w:rPr>
          <w:t>2.1:</w:t>
        </w:r>
        <w:r w:rsidR="003C4520" w:rsidRPr="003C4520">
          <w:rPr>
            <w:rFonts w:ascii="Arial Narrow" w:hAnsi="Arial Narrow"/>
            <w:noProof/>
            <w:lang w:val="en-AU" w:eastAsia="en-AU"/>
          </w:rPr>
          <w:tab/>
        </w:r>
        <w:r w:rsidR="003C4520" w:rsidRPr="003C4520">
          <w:rPr>
            <w:rStyle w:val="Hyperlink"/>
            <w:rFonts w:ascii="Arial Narrow" w:hAnsi="Arial Narrow"/>
            <w:noProof/>
          </w:rPr>
          <w:t>Purpose of Report</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_Toc326918013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6</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14" w:history="1">
        <w:r w:rsidR="003C4520" w:rsidRPr="003C4520">
          <w:rPr>
            <w:rStyle w:val="Hyperlink"/>
            <w:rFonts w:ascii="Arial Narrow" w:hAnsi="Arial Narrow"/>
            <w:noProof/>
          </w:rPr>
          <w:t>2.2:</w:t>
        </w:r>
        <w:r w:rsidR="003C4520" w:rsidRPr="003C4520">
          <w:rPr>
            <w:rFonts w:ascii="Arial Narrow" w:hAnsi="Arial Narrow"/>
            <w:noProof/>
            <w:lang w:val="en-AU" w:eastAsia="en-AU"/>
          </w:rPr>
          <w:tab/>
        </w:r>
        <w:r w:rsidR="003C4520" w:rsidRPr="003C4520">
          <w:rPr>
            <w:rStyle w:val="Hyperlink"/>
            <w:rFonts w:ascii="Arial Narrow" w:hAnsi="Arial Narrow"/>
            <w:noProof/>
          </w:rPr>
          <w:t>Scope and Methodology</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_Toc326918014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6</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15" w:history="1">
        <w:r w:rsidR="003C4520" w:rsidRPr="003C4520">
          <w:rPr>
            <w:rStyle w:val="Hyperlink"/>
            <w:rFonts w:ascii="Arial Narrow" w:hAnsi="Arial Narrow"/>
            <w:noProof/>
          </w:rPr>
          <w:t>2.3:</w:t>
        </w:r>
        <w:r w:rsidR="003C4520" w:rsidRPr="003C4520">
          <w:rPr>
            <w:rFonts w:ascii="Arial Narrow" w:hAnsi="Arial Narrow"/>
            <w:noProof/>
            <w:lang w:val="en-AU" w:eastAsia="en-AU"/>
          </w:rPr>
          <w:tab/>
        </w:r>
        <w:r w:rsidR="003C4520" w:rsidRPr="003C4520">
          <w:rPr>
            <w:rStyle w:val="Hyperlink"/>
            <w:rFonts w:ascii="Arial Narrow" w:hAnsi="Arial Narrow"/>
            <w:noProof/>
          </w:rPr>
          <w:t>Overview of the Local Government Area</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_Toc326918015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8</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16" w:history="1">
        <w:r w:rsidR="003C4520" w:rsidRPr="003C4520">
          <w:rPr>
            <w:rStyle w:val="Hyperlink"/>
            <w:rFonts w:ascii="Arial Narrow" w:hAnsi="Arial Narrow"/>
            <w:noProof/>
          </w:rPr>
          <w:t>2.4:</w:t>
        </w:r>
        <w:r w:rsidR="003C4520" w:rsidRPr="003C4520">
          <w:rPr>
            <w:rFonts w:ascii="Arial Narrow" w:hAnsi="Arial Narrow"/>
            <w:noProof/>
            <w:lang w:val="en-AU" w:eastAsia="en-AU"/>
          </w:rPr>
          <w:tab/>
        </w:r>
        <w:r w:rsidR="003C4520" w:rsidRPr="003C4520">
          <w:rPr>
            <w:rStyle w:val="Hyperlink"/>
            <w:rFonts w:ascii="Arial Narrow" w:hAnsi="Arial Narrow"/>
            <w:noProof/>
          </w:rPr>
          <w:t>LIRS Application</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_Toc326918016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9</w:t>
        </w:r>
        <w:r w:rsidR="003A353B" w:rsidRPr="003C4520">
          <w:rPr>
            <w:rFonts w:ascii="Arial Narrow" w:hAnsi="Arial Narrow"/>
            <w:noProof/>
            <w:webHidden/>
          </w:rPr>
          <w:fldChar w:fldCharType="end"/>
        </w:r>
      </w:hyperlink>
    </w:p>
    <w:p w:rsidR="003C4520" w:rsidRPr="003C4520" w:rsidRDefault="00401AD3" w:rsidP="003C4520">
      <w:pPr>
        <w:pStyle w:val="TOC1"/>
        <w:tabs>
          <w:tab w:val="left" w:pos="1100"/>
          <w:tab w:val="right" w:leader="dot" w:pos="8188"/>
        </w:tabs>
        <w:spacing w:before="220" w:after="220"/>
        <w:rPr>
          <w:rFonts w:ascii="Arial Narrow" w:hAnsi="Arial Narrow"/>
          <w:noProof/>
          <w:lang w:val="en-AU" w:eastAsia="en-AU"/>
        </w:rPr>
      </w:pPr>
      <w:hyperlink w:anchor="_Toc326918017" w:history="1">
        <w:r w:rsidR="003C4520" w:rsidRPr="003C4520">
          <w:rPr>
            <w:rStyle w:val="Hyperlink"/>
            <w:rFonts w:ascii="Arial Narrow" w:hAnsi="Arial Narrow"/>
            <w:noProof/>
          </w:rPr>
          <w:t>Section 3</w:t>
        </w:r>
        <w:r w:rsidR="003C4520" w:rsidRPr="003C4520">
          <w:rPr>
            <w:rFonts w:ascii="Arial Narrow" w:hAnsi="Arial Narrow"/>
            <w:noProof/>
            <w:lang w:val="en-AU" w:eastAsia="en-AU"/>
          </w:rPr>
          <w:tab/>
        </w:r>
        <w:r w:rsidR="003C4520" w:rsidRPr="003C4520">
          <w:rPr>
            <w:rStyle w:val="Hyperlink"/>
            <w:rFonts w:ascii="Arial Narrow" w:hAnsi="Arial Narrow"/>
            <w:noProof/>
          </w:rPr>
          <w:t>Review of Financial Performance and Position</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_Toc326918017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10</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18" w:history="1">
        <w:r w:rsidR="003C4520" w:rsidRPr="003C4520">
          <w:rPr>
            <w:rStyle w:val="Hyperlink"/>
            <w:rFonts w:ascii="Arial Narrow" w:hAnsi="Arial Narrow"/>
            <w:noProof/>
          </w:rPr>
          <w:t>3.1:</w:t>
        </w:r>
        <w:r w:rsidR="003C4520" w:rsidRPr="003C4520">
          <w:rPr>
            <w:rFonts w:ascii="Arial Narrow" w:hAnsi="Arial Narrow"/>
            <w:noProof/>
            <w:lang w:val="en-AU" w:eastAsia="en-AU"/>
          </w:rPr>
          <w:tab/>
        </w:r>
        <w:r w:rsidR="003C4520" w:rsidRPr="003C4520">
          <w:rPr>
            <w:rStyle w:val="Hyperlink"/>
            <w:rFonts w:ascii="Arial Narrow" w:hAnsi="Arial Narrow"/>
            <w:noProof/>
          </w:rPr>
          <w:t>Revenue</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_Toc326918018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10</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19" w:history="1">
        <w:r w:rsidR="003C4520" w:rsidRPr="003C4520">
          <w:rPr>
            <w:rStyle w:val="Hyperlink"/>
            <w:rFonts w:ascii="Arial Narrow" w:hAnsi="Arial Narrow"/>
            <w:noProof/>
          </w:rPr>
          <w:t>3.2:</w:t>
        </w:r>
        <w:r w:rsidR="003C4520" w:rsidRPr="003C4520">
          <w:rPr>
            <w:rFonts w:ascii="Arial Narrow" w:hAnsi="Arial Narrow"/>
            <w:noProof/>
            <w:lang w:val="en-AU" w:eastAsia="en-AU"/>
          </w:rPr>
          <w:tab/>
        </w:r>
        <w:r w:rsidR="003C4520" w:rsidRPr="003C4520">
          <w:rPr>
            <w:rStyle w:val="Hyperlink"/>
            <w:rFonts w:ascii="Arial Narrow" w:hAnsi="Arial Narrow"/>
            <w:noProof/>
          </w:rPr>
          <w:t>Expenses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_Toc326918019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10</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0" w:history="1">
        <w:r w:rsidR="003C4520" w:rsidRPr="003C4520">
          <w:rPr>
            <w:rStyle w:val="Hyperlink"/>
            <w:rFonts w:ascii="Arial Narrow" w:hAnsi="Arial Narrow" w:cs="Arial"/>
            <w:noProof/>
          </w:rPr>
          <w:t>3.3:</w:t>
        </w:r>
        <w:r w:rsidR="003C4520" w:rsidRPr="003C4520">
          <w:rPr>
            <w:rFonts w:ascii="Arial Narrow" w:hAnsi="Arial Narrow"/>
            <w:noProof/>
            <w:lang w:val="en-AU" w:eastAsia="en-AU"/>
          </w:rPr>
          <w:tab/>
        </w:r>
        <w:r w:rsidR="003C4520" w:rsidRPr="003C4520">
          <w:rPr>
            <w:rStyle w:val="Hyperlink"/>
            <w:rFonts w:ascii="Arial Narrow" w:hAnsi="Arial Narrow" w:cs="Arial"/>
            <w:noProof/>
          </w:rPr>
          <w:t>Operating Results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_Toc326918020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13</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1" w:history="1">
        <w:r w:rsidR="003C4520" w:rsidRPr="003C4520">
          <w:rPr>
            <w:rStyle w:val="Hyperlink"/>
            <w:rFonts w:ascii="Arial Narrow" w:hAnsi="Arial Narrow"/>
            <w:noProof/>
          </w:rPr>
          <w:t>3.4:</w:t>
        </w:r>
        <w:r w:rsidR="003C4520" w:rsidRPr="003C4520">
          <w:rPr>
            <w:rFonts w:ascii="Arial Narrow" w:hAnsi="Arial Narrow"/>
            <w:noProof/>
            <w:lang w:val="en-AU" w:eastAsia="en-AU"/>
          </w:rPr>
          <w:tab/>
        </w:r>
        <w:r w:rsidR="003C4520" w:rsidRPr="003C4520">
          <w:rPr>
            <w:rStyle w:val="Hyperlink"/>
            <w:rFonts w:ascii="Arial Narrow" w:hAnsi="Arial Narrow"/>
            <w:noProof/>
          </w:rPr>
          <w:t>Financial Management Indicators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_Toc326918021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14</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2" w:history="1">
        <w:r w:rsidR="003C4520" w:rsidRPr="003C4520">
          <w:rPr>
            <w:rStyle w:val="Hyperlink"/>
            <w:rFonts w:ascii="Arial Narrow" w:hAnsi="Arial Narrow"/>
            <w:noProof/>
          </w:rPr>
          <w:t>3.5:</w:t>
        </w:r>
        <w:r w:rsidR="003C4520" w:rsidRPr="003C4520">
          <w:rPr>
            <w:rFonts w:ascii="Arial Narrow" w:hAnsi="Arial Narrow"/>
            <w:noProof/>
            <w:lang w:val="en-AU" w:eastAsia="en-AU"/>
          </w:rPr>
          <w:tab/>
        </w:r>
        <w:r w:rsidR="003C4520" w:rsidRPr="003C4520">
          <w:rPr>
            <w:rStyle w:val="Hyperlink"/>
            <w:rFonts w:ascii="Arial Narrow" w:hAnsi="Arial Narrow"/>
            <w:noProof/>
          </w:rPr>
          <w:t>Statement of Cashflows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_Toc326918022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15</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3" w:history="1">
        <w:r w:rsidR="003C4520" w:rsidRPr="003C4520">
          <w:rPr>
            <w:rStyle w:val="Hyperlink"/>
            <w:rFonts w:ascii="Arial Narrow" w:hAnsi="Arial Narrow"/>
            <w:noProof/>
          </w:rPr>
          <w:t>3.6:</w:t>
        </w:r>
        <w:r w:rsidR="003C4520" w:rsidRPr="003C4520">
          <w:rPr>
            <w:rFonts w:ascii="Arial Narrow" w:hAnsi="Arial Narrow"/>
            <w:noProof/>
            <w:lang w:val="en-AU" w:eastAsia="en-AU"/>
          </w:rPr>
          <w:tab/>
        </w:r>
        <w:r w:rsidR="003C4520" w:rsidRPr="003C4520">
          <w:rPr>
            <w:rStyle w:val="Hyperlink"/>
            <w:rFonts w:ascii="Arial Narrow" w:hAnsi="Arial Narrow"/>
            <w:noProof/>
          </w:rPr>
          <w:t>Capital Expenditure</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_Toc326918023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16</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4" w:history="1">
        <w:r w:rsidR="003C4520" w:rsidRPr="003C4520">
          <w:rPr>
            <w:rStyle w:val="Hyperlink"/>
            <w:rFonts w:ascii="Arial Narrow" w:hAnsi="Arial Narrow"/>
            <w:noProof/>
          </w:rPr>
          <w:t>3.7:</w:t>
        </w:r>
        <w:r w:rsidR="003C4520" w:rsidRPr="003C4520">
          <w:rPr>
            <w:rFonts w:ascii="Arial Narrow" w:hAnsi="Arial Narrow"/>
            <w:noProof/>
            <w:lang w:val="en-AU" w:eastAsia="en-AU"/>
          </w:rPr>
          <w:tab/>
        </w:r>
        <w:r w:rsidR="003C4520" w:rsidRPr="003C4520">
          <w:rPr>
            <w:rStyle w:val="Hyperlink"/>
            <w:rFonts w:ascii="Arial Narrow" w:hAnsi="Arial Narrow"/>
            <w:noProof/>
          </w:rPr>
          <w:t>Specific Risks to Council</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_Toc326918024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18</w:t>
        </w:r>
        <w:r w:rsidR="003A353B" w:rsidRPr="003C4520">
          <w:rPr>
            <w:rFonts w:ascii="Arial Narrow" w:hAnsi="Arial Narrow"/>
            <w:noProof/>
            <w:webHidden/>
          </w:rPr>
          <w:fldChar w:fldCharType="end"/>
        </w:r>
      </w:hyperlink>
    </w:p>
    <w:p w:rsidR="003C4520" w:rsidRPr="003C4520" w:rsidRDefault="00401AD3" w:rsidP="003C4520">
      <w:pPr>
        <w:pStyle w:val="TOC1"/>
        <w:tabs>
          <w:tab w:val="left" w:pos="1100"/>
          <w:tab w:val="right" w:leader="dot" w:pos="8188"/>
        </w:tabs>
        <w:spacing w:before="220" w:after="220"/>
        <w:rPr>
          <w:rFonts w:ascii="Arial Narrow" w:hAnsi="Arial Narrow"/>
          <w:noProof/>
          <w:lang w:val="en-AU" w:eastAsia="en-AU"/>
        </w:rPr>
      </w:pPr>
      <w:hyperlink w:anchor="_Toc326918025" w:history="1">
        <w:r w:rsidR="003C4520" w:rsidRPr="003C4520">
          <w:rPr>
            <w:rStyle w:val="Hyperlink"/>
            <w:rFonts w:ascii="Arial Narrow" w:hAnsi="Arial Narrow"/>
            <w:noProof/>
          </w:rPr>
          <w:t>Section 4</w:t>
        </w:r>
        <w:r w:rsidR="003C4520" w:rsidRPr="003C4520">
          <w:rPr>
            <w:rFonts w:ascii="Arial Narrow" w:hAnsi="Arial Narrow"/>
            <w:noProof/>
            <w:lang w:val="en-AU" w:eastAsia="en-AU"/>
          </w:rPr>
          <w:tab/>
        </w:r>
        <w:r w:rsidR="003C4520" w:rsidRPr="003C4520">
          <w:rPr>
            <w:rStyle w:val="Hyperlink"/>
            <w:rFonts w:ascii="Arial Narrow" w:hAnsi="Arial Narrow"/>
            <w:noProof/>
          </w:rPr>
          <w:t>Review of Financial Forecasts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_Toc326918025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20</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6" w:history="1">
        <w:r w:rsidR="003C4520" w:rsidRPr="003C4520">
          <w:rPr>
            <w:rStyle w:val="Hyperlink"/>
            <w:rFonts w:ascii="Arial Narrow" w:hAnsi="Arial Narrow"/>
            <w:noProof/>
          </w:rPr>
          <w:t>4.1:</w:t>
        </w:r>
        <w:r w:rsidR="003C4520" w:rsidRPr="003C4520">
          <w:rPr>
            <w:rFonts w:ascii="Arial Narrow" w:hAnsi="Arial Narrow"/>
            <w:noProof/>
            <w:lang w:val="en-AU" w:eastAsia="en-AU"/>
          </w:rPr>
          <w:tab/>
        </w:r>
        <w:r w:rsidR="003C4520" w:rsidRPr="003C4520">
          <w:rPr>
            <w:rStyle w:val="Hyperlink"/>
            <w:rFonts w:ascii="Arial Narrow" w:hAnsi="Arial Narrow"/>
            <w:noProof/>
          </w:rPr>
          <w:t>Operating Results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_Toc326918026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20</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7" w:history="1">
        <w:r w:rsidR="003C4520" w:rsidRPr="003C4520">
          <w:rPr>
            <w:rStyle w:val="Hyperlink"/>
            <w:rFonts w:ascii="Arial Narrow" w:hAnsi="Arial Narrow"/>
            <w:noProof/>
          </w:rPr>
          <w:t>4.2:</w:t>
        </w:r>
        <w:r w:rsidR="003C4520" w:rsidRPr="003C4520">
          <w:rPr>
            <w:rFonts w:ascii="Arial Narrow" w:hAnsi="Arial Narrow"/>
            <w:noProof/>
            <w:lang w:val="en-AU" w:eastAsia="en-AU"/>
          </w:rPr>
          <w:tab/>
        </w:r>
        <w:r w:rsidR="003C4520" w:rsidRPr="003C4520">
          <w:rPr>
            <w:rStyle w:val="Hyperlink"/>
            <w:rFonts w:ascii="Arial Narrow" w:hAnsi="Arial Narrow"/>
            <w:noProof/>
          </w:rPr>
          <w:t>Financial Management Indicators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_Toc326918027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21</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8" w:history="1">
        <w:r w:rsidR="003C4520" w:rsidRPr="003C4520">
          <w:rPr>
            <w:rStyle w:val="Hyperlink"/>
            <w:rFonts w:ascii="Arial Narrow" w:hAnsi="Arial Narrow"/>
            <w:noProof/>
          </w:rPr>
          <w:t>4.3:</w:t>
        </w:r>
        <w:r w:rsidR="003C4520" w:rsidRPr="003C4520">
          <w:rPr>
            <w:rFonts w:ascii="Arial Narrow" w:hAnsi="Arial Narrow"/>
            <w:noProof/>
            <w:lang w:val="en-AU" w:eastAsia="en-AU"/>
          </w:rPr>
          <w:tab/>
        </w:r>
        <w:r w:rsidR="003C4520" w:rsidRPr="003C4520">
          <w:rPr>
            <w:rStyle w:val="Hyperlink"/>
            <w:rFonts w:ascii="Arial Narrow" w:hAnsi="Arial Narrow"/>
            <w:noProof/>
          </w:rPr>
          <w:t>Capital Expenditure</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_Toc326918028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23</w:t>
        </w:r>
        <w:r w:rsidR="003A353B" w:rsidRPr="003C4520">
          <w:rPr>
            <w:rFonts w:ascii="Arial Narrow" w:hAnsi="Arial Narrow"/>
            <w:noProof/>
            <w:webHidden/>
          </w:rPr>
          <w:fldChar w:fldCharType="end"/>
        </w:r>
      </w:hyperlink>
    </w:p>
    <w:p w:rsidR="003C4520" w:rsidRPr="003C4520" w:rsidRDefault="00401AD3" w:rsidP="003C4520">
      <w:pPr>
        <w:pStyle w:val="TOC2"/>
        <w:tabs>
          <w:tab w:val="left" w:pos="880"/>
          <w:tab w:val="right" w:leader="dot" w:pos="8188"/>
        </w:tabs>
        <w:spacing w:before="220" w:after="220"/>
        <w:rPr>
          <w:rFonts w:ascii="Arial Narrow" w:hAnsi="Arial Narrow"/>
          <w:noProof/>
          <w:lang w:val="en-AU" w:eastAsia="en-AU"/>
        </w:rPr>
      </w:pPr>
      <w:hyperlink w:anchor="_Toc326918029" w:history="1">
        <w:r w:rsidR="003C4520" w:rsidRPr="003C4520">
          <w:rPr>
            <w:rStyle w:val="Hyperlink"/>
            <w:rFonts w:ascii="Arial Narrow" w:hAnsi="Arial Narrow"/>
            <w:noProof/>
          </w:rPr>
          <w:t>4.4:</w:t>
        </w:r>
        <w:r w:rsidR="003C4520" w:rsidRPr="003C4520">
          <w:rPr>
            <w:rFonts w:ascii="Arial Narrow" w:hAnsi="Arial Narrow"/>
            <w:noProof/>
            <w:lang w:val="en-AU" w:eastAsia="en-AU"/>
          </w:rPr>
          <w:tab/>
        </w:r>
        <w:r w:rsidR="003C4520" w:rsidRPr="003C4520">
          <w:rPr>
            <w:rStyle w:val="Hyperlink"/>
            <w:rFonts w:ascii="Arial Narrow" w:hAnsi="Arial Narrow"/>
            <w:noProof/>
          </w:rPr>
          <w:t>Financial Model Assumption Review</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_Toc326918029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24</w:t>
        </w:r>
        <w:r w:rsidR="003A353B" w:rsidRPr="003C4520">
          <w:rPr>
            <w:rFonts w:ascii="Arial Narrow" w:hAnsi="Arial Narrow"/>
            <w:noProof/>
            <w:webHidden/>
          </w:rPr>
          <w:fldChar w:fldCharType="end"/>
        </w:r>
      </w:hyperlink>
    </w:p>
    <w:p w:rsidR="003C4520" w:rsidRPr="003C4520" w:rsidRDefault="00401AD3" w:rsidP="003C4520">
      <w:pPr>
        <w:pStyle w:val="TOC2"/>
        <w:tabs>
          <w:tab w:val="right" w:leader="dot" w:pos="8188"/>
        </w:tabs>
        <w:spacing w:before="220" w:after="220"/>
        <w:rPr>
          <w:rFonts w:ascii="Arial Narrow" w:hAnsi="Arial Narrow"/>
          <w:noProof/>
          <w:lang w:val="en-AU" w:eastAsia="en-AU"/>
        </w:rPr>
      </w:pPr>
      <w:hyperlink w:anchor="_Toc326918031" w:history="1">
        <w:r w:rsidR="003C4520" w:rsidRPr="003C4520">
          <w:rPr>
            <w:rStyle w:val="Hyperlink"/>
            <w:rFonts w:ascii="Arial Narrow" w:hAnsi="Arial Narrow"/>
            <w:noProof/>
          </w:rPr>
          <w:t>4.</w:t>
        </w:r>
        <w:r w:rsidR="00182227">
          <w:rPr>
            <w:rStyle w:val="Hyperlink"/>
            <w:rFonts w:ascii="Arial Narrow" w:hAnsi="Arial Narrow"/>
            <w:noProof/>
          </w:rPr>
          <w:t>5</w:t>
        </w:r>
        <w:r w:rsidR="003C4520" w:rsidRPr="003C4520">
          <w:rPr>
            <w:rStyle w:val="Hyperlink"/>
            <w:rFonts w:ascii="Arial Narrow" w:hAnsi="Arial Narrow"/>
            <w:noProof/>
          </w:rPr>
          <w:t xml:space="preserve">:   </w:t>
        </w:r>
        <w:r w:rsidR="0035469E">
          <w:rPr>
            <w:rStyle w:val="Hyperlink"/>
            <w:rFonts w:ascii="Arial Narrow" w:hAnsi="Arial Narrow"/>
            <w:noProof/>
          </w:rPr>
          <w:t xml:space="preserve">    </w:t>
        </w:r>
        <w:r w:rsidR="003C4520" w:rsidRPr="003C4520">
          <w:rPr>
            <w:rStyle w:val="Hyperlink"/>
            <w:rFonts w:ascii="Arial Narrow" w:hAnsi="Arial Narrow"/>
            <w:noProof/>
          </w:rPr>
          <w:t>Borrowing Capacity</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_Toc326918031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25</w:t>
        </w:r>
        <w:r w:rsidR="003A353B" w:rsidRPr="003C4520">
          <w:rPr>
            <w:rFonts w:ascii="Arial Narrow" w:hAnsi="Arial Narrow"/>
            <w:noProof/>
            <w:webHidden/>
          </w:rPr>
          <w:fldChar w:fldCharType="end"/>
        </w:r>
      </w:hyperlink>
    </w:p>
    <w:p w:rsidR="003C4520" w:rsidRDefault="00401AD3" w:rsidP="003C4520">
      <w:pPr>
        <w:pStyle w:val="TOC1"/>
        <w:tabs>
          <w:tab w:val="left" w:pos="1320"/>
          <w:tab w:val="right" w:leader="dot" w:pos="8188"/>
        </w:tabs>
        <w:spacing w:before="220" w:after="220"/>
        <w:rPr>
          <w:noProof/>
        </w:rPr>
      </w:pPr>
      <w:hyperlink w:anchor="_Toc326918032" w:history="1">
        <w:r w:rsidR="003C4520" w:rsidRPr="003C4520">
          <w:rPr>
            <w:rStyle w:val="Hyperlink"/>
            <w:rFonts w:ascii="Arial Narrow" w:hAnsi="Arial Narrow"/>
            <w:noProof/>
          </w:rPr>
          <w:t>Appendix A</w:t>
        </w:r>
        <w:r w:rsidR="003C4520" w:rsidRPr="003C4520">
          <w:rPr>
            <w:rFonts w:ascii="Arial Narrow" w:hAnsi="Arial Narrow"/>
            <w:noProof/>
            <w:lang w:val="en-AU" w:eastAsia="en-AU"/>
          </w:rPr>
          <w:tab/>
        </w:r>
        <w:r w:rsidR="003C4520" w:rsidRPr="003C4520">
          <w:rPr>
            <w:rStyle w:val="Hyperlink"/>
            <w:rFonts w:ascii="Arial Narrow" w:hAnsi="Arial Narrow"/>
            <w:noProof/>
          </w:rPr>
          <w:t>Historical Financial Information Tables</w:t>
        </w:r>
        <w:r w:rsidR="003C4520" w:rsidRPr="003C4520">
          <w:rPr>
            <w:rFonts w:ascii="Arial Narrow" w:hAnsi="Arial Narrow"/>
            <w:noProof/>
            <w:webHidden/>
          </w:rPr>
          <w:tab/>
        </w:r>
        <w:r w:rsidR="003A353B" w:rsidRPr="003C4520">
          <w:rPr>
            <w:rFonts w:ascii="Arial Narrow" w:hAnsi="Arial Narrow"/>
            <w:noProof/>
            <w:webHidden/>
          </w:rPr>
          <w:fldChar w:fldCharType="begin"/>
        </w:r>
        <w:r w:rsidR="003C4520" w:rsidRPr="003C4520">
          <w:rPr>
            <w:rFonts w:ascii="Arial Narrow" w:hAnsi="Arial Narrow"/>
            <w:noProof/>
            <w:webHidden/>
          </w:rPr>
          <w:instrText xml:space="preserve"> PAGEREF _Toc326918032 \h </w:instrText>
        </w:r>
        <w:r w:rsidR="003A353B" w:rsidRPr="003C4520">
          <w:rPr>
            <w:rFonts w:ascii="Arial Narrow" w:hAnsi="Arial Narrow"/>
            <w:noProof/>
            <w:webHidden/>
          </w:rPr>
        </w:r>
        <w:r w:rsidR="003A353B" w:rsidRPr="003C4520">
          <w:rPr>
            <w:rFonts w:ascii="Arial Narrow" w:hAnsi="Arial Narrow"/>
            <w:noProof/>
            <w:webHidden/>
          </w:rPr>
          <w:fldChar w:fldCharType="separate"/>
        </w:r>
        <w:r w:rsidR="006B621E">
          <w:rPr>
            <w:rFonts w:ascii="Arial Narrow" w:hAnsi="Arial Narrow"/>
            <w:noProof/>
            <w:webHidden/>
          </w:rPr>
          <w:t>33</w:t>
        </w:r>
        <w:r w:rsidR="003A353B" w:rsidRPr="003C4520">
          <w:rPr>
            <w:rFonts w:ascii="Arial Narrow" w:hAnsi="Arial Narrow"/>
            <w:noProof/>
            <w:webHidden/>
          </w:rPr>
          <w:fldChar w:fldCharType="end"/>
        </w:r>
      </w:hyperlink>
    </w:p>
    <w:p w:rsidR="008443A5" w:rsidRPr="008443A5" w:rsidRDefault="008443A5" w:rsidP="0035469E">
      <w:pPr>
        <w:ind w:right="-189"/>
        <w:rPr>
          <w:noProof/>
          <w:lang w:val="en-US" w:eastAsia="en-US"/>
        </w:rPr>
      </w:pPr>
      <w:r>
        <w:rPr>
          <w:noProof/>
          <w:lang w:val="en-US" w:eastAsia="en-US"/>
        </w:rPr>
        <w:t>Appendix B       Glossary…………………………………………………………………………………………</w:t>
      </w:r>
      <w:r w:rsidR="006258F1">
        <w:rPr>
          <w:noProof/>
          <w:lang w:val="en-US" w:eastAsia="en-US"/>
        </w:rPr>
        <w:t>33</w:t>
      </w:r>
    </w:p>
    <w:p w:rsidR="00182227" w:rsidRPr="00182227" w:rsidRDefault="00182227" w:rsidP="00182227">
      <w:pPr>
        <w:rPr>
          <w:noProof/>
          <w:lang w:val="en-US" w:eastAsia="en-US"/>
        </w:rPr>
      </w:pPr>
    </w:p>
    <w:p w:rsidR="005672E3" w:rsidRDefault="003A353B" w:rsidP="005672E3">
      <w:pPr>
        <w:outlineLvl w:val="0"/>
      </w:pPr>
      <w:r>
        <w:fldChar w:fldCharType="end"/>
      </w:r>
    </w:p>
    <w:p w:rsidR="003C4520" w:rsidRDefault="003C4520">
      <w:pPr>
        <w:spacing w:before="0" w:after="200" w:line="276" w:lineRule="auto"/>
        <w:jc w:val="left"/>
        <w:rPr>
          <w:b/>
          <w:sz w:val="28"/>
          <w:szCs w:val="28"/>
        </w:rPr>
      </w:pPr>
      <w:bookmarkStart w:id="7" w:name="_Toc326918011"/>
      <w:r>
        <w:br w:type="page"/>
      </w:r>
    </w:p>
    <w:p w:rsidR="000A7B79" w:rsidRPr="00255D02" w:rsidRDefault="000A7B79" w:rsidP="00255D02">
      <w:pPr>
        <w:pStyle w:val="Heading1"/>
      </w:pPr>
      <w:r w:rsidRPr="00255D02">
        <w:lastRenderedPageBreak/>
        <w:t>Section 1</w:t>
      </w:r>
      <w:r w:rsidRPr="00255D02">
        <w:tab/>
        <w:t>Executive Summary</w:t>
      </w:r>
      <w:bookmarkEnd w:id="7"/>
    </w:p>
    <w:p w:rsidR="005533F2" w:rsidRDefault="005533F2" w:rsidP="005533F2">
      <w:bookmarkStart w:id="8" w:name="_Toc326918012"/>
      <w:r>
        <w:t>This report provides an independent assessment of Shoalhaven City Council’s (the Council) financial capacity, and its ability to undertake additional borrowings.  The analysis is based on a review of the historical performance, current financial position, and long term financial forecasts.  It also benchmarks the Council against its peers using key ratios.</w:t>
      </w:r>
    </w:p>
    <w:p w:rsidR="005533F2" w:rsidRDefault="005533F2" w:rsidP="005533F2">
      <w:r>
        <w:t xml:space="preserve">The report is primarily focused on the financial capacity of the Council to undertake additional borrowings as part of the Local Infrastructure Renewal Scheme (LIRS).  Council has made one LIRS application for $2m for its </w:t>
      </w:r>
      <w:r w:rsidRPr="00355ACB">
        <w:t>Accelerated Road Renewal Program</w:t>
      </w:r>
      <w:r>
        <w:t>.</w:t>
      </w:r>
    </w:p>
    <w:p w:rsidR="005533F2" w:rsidRDefault="005533F2" w:rsidP="005533F2">
      <w:proofErr w:type="spellStart"/>
      <w:r>
        <w:t>TCorp’s</w:t>
      </w:r>
      <w:proofErr w:type="spellEnd"/>
      <w:r>
        <w:t xml:space="preserve"> approach has been to:</w:t>
      </w:r>
    </w:p>
    <w:p w:rsidR="005533F2" w:rsidRDefault="005533F2" w:rsidP="005533F2">
      <w:pPr>
        <w:pStyle w:val="ListParagraph"/>
        <w:numPr>
          <w:ilvl w:val="0"/>
          <w:numId w:val="1"/>
        </w:numPr>
        <w:ind w:left="714" w:hanging="357"/>
      </w:pPr>
      <w:r>
        <w:t>Review the most recent three years of Council’s consolidated financial results.</w:t>
      </w:r>
    </w:p>
    <w:p w:rsidR="005533F2" w:rsidRDefault="005533F2" w:rsidP="005533F2">
      <w:pPr>
        <w:pStyle w:val="ListParagraph"/>
        <w:numPr>
          <w:ilvl w:val="0"/>
          <w:numId w:val="1"/>
        </w:numPr>
        <w:ind w:left="714" w:hanging="357"/>
      </w:pPr>
      <w:r>
        <w:t xml:space="preserve">Conduct a detailed review of the Council’s 10 year financial forecasts.  </w:t>
      </w:r>
      <w:r w:rsidRPr="00EF3A2C">
        <w:t>The review of the financial forecasts focused on the particular Council fund that was undertaking the proposed debt commitment</w:t>
      </w:r>
      <w:r>
        <w:t xml:space="preserve">.  As the project will be funded from the General Fund </w:t>
      </w:r>
      <w:r w:rsidRPr="00EF3A2C">
        <w:t>we focused our review on th</w:t>
      </w:r>
      <w:r>
        <w:t>is</w:t>
      </w:r>
      <w:r w:rsidRPr="00EF3A2C">
        <w:t xml:space="preserve"> General </w:t>
      </w:r>
      <w:r>
        <w:t>F</w:t>
      </w:r>
      <w:r w:rsidRPr="00EF3A2C">
        <w:t>und</w:t>
      </w:r>
      <w:r>
        <w:t>.</w:t>
      </w:r>
    </w:p>
    <w:p w:rsidR="005533F2" w:rsidRDefault="005533F2" w:rsidP="005533F2">
      <w:r>
        <w:t>Overall, the review has found that the Council has been well managed over the review period based on the following observations:</w:t>
      </w:r>
    </w:p>
    <w:p w:rsidR="005533F2" w:rsidRDefault="005533F2" w:rsidP="005533F2">
      <w:pPr>
        <w:pStyle w:val="ListParagraph"/>
        <w:numPr>
          <w:ilvl w:val="0"/>
          <w:numId w:val="1"/>
        </w:numPr>
        <w:ind w:left="714" w:hanging="357"/>
      </w:pPr>
      <w:r>
        <w:t>While Council has incurred operating deficits (excluding grants and contributions for capital purposes), Council’s underlying operating result (measured using EBITDA) has improved from $40.3m in 2009 to $45.1m in 2011.</w:t>
      </w:r>
    </w:p>
    <w:p w:rsidR="005533F2" w:rsidRPr="006950B8" w:rsidRDefault="005533F2" w:rsidP="005533F2">
      <w:pPr>
        <w:pStyle w:val="ListParagraph"/>
        <w:numPr>
          <w:ilvl w:val="0"/>
          <w:numId w:val="1"/>
        </w:numPr>
        <w:ind w:left="714" w:hanging="357"/>
      </w:pPr>
      <w:r w:rsidRPr="006950B8">
        <w:t>Approximately 76% of the Council’s revenue base is derived from own sourced revenue (annual charges, and user charges and fees).  They can rely upon these revenue streams on an ongoing basis for financial flexibility.</w:t>
      </w:r>
    </w:p>
    <w:p w:rsidR="005533F2" w:rsidRPr="006950B8" w:rsidRDefault="005533F2" w:rsidP="005533F2">
      <w:pPr>
        <w:pStyle w:val="ListParagraph"/>
        <w:numPr>
          <w:ilvl w:val="0"/>
          <w:numId w:val="1"/>
        </w:numPr>
        <w:ind w:left="714" w:hanging="357"/>
      </w:pPr>
      <w:r w:rsidRPr="006950B8">
        <w:t xml:space="preserve">The Council is facing pressure </w:t>
      </w:r>
      <w:r>
        <w:t>from</w:t>
      </w:r>
      <w:r w:rsidRPr="006950B8">
        <w:t xml:space="preserve"> rising employee costs, and material and contracts costs above inflation but it has acknowledged the issue and is </w:t>
      </w:r>
      <w:r>
        <w:t>seeking</w:t>
      </w:r>
      <w:r w:rsidRPr="006950B8">
        <w:t xml:space="preserve"> to address this through expenditure review measures.</w:t>
      </w:r>
    </w:p>
    <w:p w:rsidR="005533F2" w:rsidRDefault="005533F2" w:rsidP="005533F2">
      <w:r>
        <w:t xml:space="preserve">Council reported $43.1m of infrastructure backlog in 2011 </w:t>
      </w:r>
      <w:r w:rsidR="00426FBC">
        <w:t xml:space="preserve">which represents 2.3% of its </w:t>
      </w:r>
      <w:r>
        <w:t>infrastructure asset value of $1,873m.  Other observations include:</w:t>
      </w:r>
    </w:p>
    <w:p w:rsidR="005533F2" w:rsidRDefault="005533F2" w:rsidP="005533F2">
      <w:pPr>
        <w:pStyle w:val="ListParagraph"/>
        <w:numPr>
          <w:ilvl w:val="0"/>
          <w:numId w:val="1"/>
        </w:numPr>
        <w:ind w:left="714" w:hanging="357"/>
      </w:pPr>
      <w:r>
        <w:t>The backlog is on an upward trend particularly in the roads asset category</w:t>
      </w:r>
    </w:p>
    <w:p w:rsidR="005533F2" w:rsidRDefault="005533F2" w:rsidP="005533F2">
      <w:pPr>
        <w:pStyle w:val="ListParagraph"/>
        <w:numPr>
          <w:ilvl w:val="0"/>
          <w:numId w:val="1"/>
        </w:numPr>
        <w:ind w:left="714" w:hanging="357"/>
      </w:pPr>
      <w:r>
        <w:t xml:space="preserve">A significant portion of the backlog </w:t>
      </w:r>
      <w:r w:rsidR="000D5EA0">
        <w:t>(</w:t>
      </w:r>
      <w:r>
        <w:t>77.9%</w:t>
      </w:r>
      <w:r w:rsidR="000D5EA0">
        <w:t>)</w:t>
      </w:r>
      <w:r>
        <w:t xml:space="preserve"> is related to roads assets.  This is being addressed by a detailed list of capital programs including the LIRS application project</w:t>
      </w:r>
    </w:p>
    <w:p w:rsidR="005533F2" w:rsidRDefault="005533F2" w:rsidP="005533F2">
      <w:r>
        <w:t>The key observations from our review of the Council’s 10 year forecasts for its General Fund are:</w:t>
      </w:r>
    </w:p>
    <w:p w:rsidR="005533F2" w:rsidRDefault="005533F2" w:rsidP="005533F2">
      <w:pPr>
        <w:pStyle w:val="ListParagraph"/>
        <w:numPr>
          <w:ilvl w:val="0"/>
          <w:numId w:val="1"/>
        </w:numPr>
        <w:ind w:left="714" w:hanging="357"/>
      </w:pPr>
      <w:r>
        <w:t xml:space="preserve">The forecast shows </w:t>
      </w:r>
      <w:r w:rsidR="00F81651">
        <w:t>deficit</w:t>
      </w:r>
      <w:r>
        <w:t xml:space="preserve"> positions excluding capital grants and contributions </w:t>
      </w:r>
      <w:r w:rsidR="00F81651">
        <w:t>in all forecast years</w:t>
      </w:r>
    </w:p>
    <w:p w:rsidR="005533F2" w:rsidRDefault="005533F2" w:rsidP="005533F2">
      <w:pPr>
        <w:pStyle w:val="ListParagraph"/>
        <w:numPr>
          <w:ilvl w:val="0"/>
          <w:numId w:val="1"/>
        </w:numPr>
        <w:ind w:left="714" w:hanging="357"/>
      </w:pPr>
      <w:r>
        <w:t>The Council’s forecast liquidity position is particu</w:t>
      </w:r>
      <w:r w:rsidR="00F81651">
        <w:t>larly weak, particularly from 2015</w:t>
      </w:r>
      <w:r>
        <w:t xml:space="preserve"> when the Unrestricted Current Ratio falls </w:t>
      </w:r>
      <w:r w:rsidR="00F81651">
        <w:t>to negative levels which indicate</w:t>
      </w:r>
      <w:r>
        <w:t xml:space="preserve"> that Council will have difficulty meeting its day to day expenses</w:t>
      </w:r>
    </w:p>
    <w:p w:rsidR="005533F2" w:rsidRDefault="005533F2" w:rsidP="005533F2">
      <w:pPr>
        <w:pStyle w:val="ListParagraph"/>
        <w:numPr>
          <w:ilvl w:val="0"/>
          <w:numId w:val="1"/>
        </w:numPr>
        <w:ind w:left="714" w:hanging="357"/>
      </w:pPr>
      <w:r>
        <w:t>Council’s level of fiscal flexibility</w:t>
      </w:r>
      <w:r w:rsidR="00F81651">
        <w:t>,</w:t>
      </w:r>
      <w:r>
        <w:t xml:space="preserve"> </w:t>
      </w:r>
      <w:r w:rsidR="00F81651">
        <w:t xml:space="preserve">as indicated by its above benchmark Own Source Operating Revenue Ratio, </w:t>
      </w:r>
      <w:r>
        <w:t>is sound when excluding the impact of internal transactions</w:t>
      </w:r>
    </w:p>
    <w:p w:rsidR="005533F2" w:rsidRDefault="005533F2" w:rsidP="005533F2">
      <w:r>
        <w:t xml:space="preserve">In our view, the Council has the capacity to undertake the additional borrowings of $2.0m for the LIRS project if its </w:t>
      </w:r>
      <w:r w:rsidR="000D5EA0">
        <w:t xml:space="preserve">forecast </w:t>
      </w:r>
      <w:r>
        <w:t>liquidity issue can be overcome.  This is based on the following analysis:</w:t>
      </w:r>
    </w:p>
    <w:p w:rsidR="005533F2" w:rsidRDefault="005533F2" w:rsidP="005533F2">
      <w:pPr>
        <w:pStyle w:val="ListParagraph"/>
        <w:numPr>
          <w:ilvl w:val="0"/>
          <w:numId w:val="1"/>
        </w:numPr>
        <w:ind w:left="714" w:hanging="357"/>
      </w:pPr>
      <w:r>
        <w:lastRenderedPageBreak/>
        <w:t>The DSCR remains above the benchmark of 2.00x in the 10 year forecast</w:t>
      </w:r>
    </w:p>
    <w:p w:rsidR="005533F2" w:rsidRDefault="005533F2" w:rsidP="005533F2">
      <w:pPr>
        <w:pStyle w:val="ListParagraph"/>
        <w:numPr>
          <w:ilvl w:val="0"/>
          <w:numId w:val="1"/>
        </w:numPr>
        <w:ind w:left="714" w:hanging="357"/>
      </w:pPr>
      <w:r>
        <w:t>The Interest Cover Ratio is well above the benchmark of 4.00x in the 10 year forecast</w:t>
      </w:r>
    </w:p>
    <w:p w:rsidR="005533F2" w:rsidRDefault="005533F2" w:rsidP="005533F2">
      <w:pPr>
        <w:pStyle w:val="ListParagraph"/>
        <w:numPr>
          <w:ilvl w:val="0"/>
          <w:numId w:val="1"/>
        </w:numPr>
        <w:ind w:left="714" w:hanging="357"/>
      </w:pPr>
      <w:r>
        <w:t>However, the Unrestricted Current Ratio</w:t>
      </w:r>
      <w:r w:rsidR="00F81651">
        <w:t>, and cash and investment levels</w:t>
      </w:r>
      <w:r>
        <w:t xml:space="preserve"> drop to very low levels in the </w:t>
      </w:r>
      <w:r w:rsidR="00F81651">
        <w:t xml:space="preserve">medium term </w:t>
      </w:r>
      <w:r>
        <w:t>which will become a solvency issue.</w:t>
      </w:r>
      <w:r w:rsidR="00326F37">
        <w:t xml:space="preserve">  Reductions in spending or increases in revenue sources need to be sought immediately.</w:t>
      </w:r>
    </w:p>
    <w:p w:rsidR="005533F2" w:rsidRPr="00E2369D" w:rsidRDefault="005533F2" w:rsidP="005533F2">
      <w:pPr>
        <w:pStyle w:val="ListParagraph"/>
        <w:rPr>
          <w:color w:val="FF0000"/>
        </w:rPr>
      </w:pPr>
    </w:p>
    <w:p w:rsidR="009154B7" w:rsidRPr="008128F4" w:rsidRDefault="009154B7" w:rsidP="009154B7">
      <w:pPr>
        <w:pStyle w:val="Subtitle"/>
        <w:numPr>
          <w:ilvl w:val="0"/>
          <w:numId w:val="0"/>
        </w:numPr>
      </w:pPr>
      <w:r w:rsidRPr="008128F4">
        <w:t xml:space="preserve">In respect of </w:t>
      </w:r>
      <w:r>
        <w:t>the</w:t>
      </w:r>
      <w:r w:rsidRPr="008128F4">
        <w:t xml:space="preserve"> Benchmarking analysis </w:t>
      </w:r>
      <w:proofErr w:type="spellStart"/>
      <w:r>
        <w:t>TCorp</w:t>
      </w:r>
      <w:proofErr w:type="spellEnd"/>
      <w:r>
        <w:t xml:space="preserve"> has</w:t>
      </w:r>
      <w:r w:rsidRPr="008128F4">
        <w:t xml:space="preserve"> compared the Council’s key ratios wi</w:t>
      </w:r>
      <w:r>
        <w:t>th other councils in DLG Group 5</w:t>
      </w:r>
      <w:r w:rsidRPr="008128F4">
        <w:t xml:space="preserve">.  </w:t>
      </w:r>
      <w:r>
        <w:t>The</w:t>
      </w:r>
      <w:r w:rsidRPr="008128F4">
        <w:t xml:space="preserve"> key observations are:</w:t>
      </w:r>
    </w:p>
    <w:p w:rsidR="009154B7" w:rsidRPr="008128F4" w:rsidRDefault="009154B7" w:rsidP="009154B7">
      <w:pPr>
        <w:pStyle w:val="ListParagraph"/>
        <w:numPr>
          <w:ilvl w:val="0"/>
          <w:numId w:val="12"/>
        </w:numPr>
        <w:rPr>
          <w:color w:val="000000" w:themeColor="text1"/>
        </w:rPr>
      </w:pPr>
      <w:r w:rsidRPr="008128F4">
        <w:rPr>
          <w:color w:val="000000" w:themeColor="text1"/>
        </w:rPr>
        <w:t xml:space="preserve">Council’s financial flexibility as indicated by the Operating Ratio and Own Source Operating Revenue Ratio are </w:t>
      </w:r>
      <w:r w:rsidR="00504818">
        <w:rPr>
          <w:color w:val="000000" w:themeColor="text1"/>
        </w:rPr>
        <w:t>the best in its group</w:t>
      </w:r>
    </w:p>
    <w:p w:rsidR="009154B7" w:rsidRPr="008128F4" w:rsidRDefault="009154B7" w:rsidP="009154B7">
      <w:pPr>
        <w:pStyle w:val="ListParagraph"/>
        <w:numPr>
          <w:ilvl w:val="0"/>
          <w:numId w:val="12"/>
        </w:numPr>
        <w:rPr>
          <w:color w:val="000000" w:themeColor="text1"/>
        </w:rPr>
      </w:pPr>
      <w:r w:rsidRPr="008128F4">
        <w:rPr>
          <w:color w:val="000000" w:themeColor="text1"/>
        </w:rPr>
        <w:t>Council</w:t>
      </w:r>
      <w:r>
        <w:rPr>
          <w:color w:val="000000" w:themeColor="text1"/>
        </w:rPr>
        <w:t>’s</w:t>
      </w:r>
      <w:r w:rsidRPr="008128F4">
        <w:rPr>
          <w:color w:val="000000" w:themeColor="text1"/>
        </w:rPr>
        <w:t xml:space="preserve"> DSCR and Interest Cover Ratio</w:t>
      </w:r>
      <w:r>
        <w:rPr>
          <w:color w:val="000000" w:themeColor="text1"/>
        </w:rPr>
        <w:t xml:space="preserve"> are</w:t>
      </w:r>
      <w:r w:rsidRPr="008128F4">
        <w:rPr>
          <w:color w:val="000000" w:themeColor="text1"/>
        </w:rPr>
        <w:t xml:space="preserve"> </w:t>
      </w:r>
      <w:r>
        <w:rPr>
          <w:color w:val="000000" w:themeColor="text1"/>
        </w:rPr>
        <w:t>below the group average though in the medium term Council is</w:t>
      </w:r>
      <w:r w:rsidRPr="008128F4">
        <w:rPr>
          <w:color w:val="000000" w:themeColor="text1"/>
        </w:rPr>
        <w:t xml:space="preserve"> forecast</w:t>
      </w:r>
      <w:r>
        <w:rPr>
          <w:color w:val="000000" w:themeColor="text1"/>
        </w:rPr>
        <w:t>ing stable ratios close to</w:t>
      </w:r>
      <w:r w:rsidRPr="008128F4">
        <w:rPr>
          <w:color w:val="000000" w:themeColor="text1"/>
        </w:rPr>
        <w:t xml:space="preserve"> </w:t>
      </w:r>
      <w:r>
        <w:rPr>
          <w:color w:val="000000" w:themeColor="text1"/>
        </w:rPr>
        <w:t>the group average</w:t>
      </w:r>
    </w:p>
    <w:p w:rsidR="009154B7" w:rsidRPr="008128F4" w:rsidRDefault="009154B7" w:rsidP="009154B7">
      <w:pPr>
        <w:pStyle w:val="ListParagraph"/>
        <w:numPr>
          <w:ilvl w:val="0"/>
          <w:numId w:val="12"/>
        </w:numPr>
        <w:rPr>
          <w:color w:val="000000" w:themeColor="text1"/>
        </w:rPr>
      </w:pPr>
      <w:r w:rsidRPr="008128F4">
        <w:rPr>
          <w:color w:val="000000" w:themeColor="text1"/>
        </w:rPr>
        <w:t xml:space="preserve">Council was in a sufficient liquidity position </w:t>
      </w:r>
      <w:r>
        <w:rPr>
          <w:color w:val="000000" w:themeColor="text1"/>
        </w:rPr>
        <w:t>though</w:t>
      </w:r>
      <w:r w:rsidRPr="008128F4">
        <w:rPr>
          <w:color w:val="000000" w:themeColor="text1"/>
        </w:rPr>
        <w:t xml:space="preserve"> </w:t>
      </w:r>
      <w:r>
        <w:rPr>
          <w:color w:val="000000" w:themeColor="text1"/>
        </w:rPr>
        <w:t>this is expected to marginally deteriorate in the medium term</w:t>
      </w:r>
    </w:p>
    <w:p w:rsidR="009154B7" w:rsidRPr="008128F4" w:rsidRDefault="009154B7" w:rsidP="009154B7">
      <w:pPr>
        <w:pStyle w:val="ListParagraph"/>
        <w:numPr>
          <w:ilvl w:val="0"/>
          <w:numId w:val="12"/>
        </w:numPr>
        <w:rPr>
          <w:color w:val="000000" w:themeColor="text1"/>
        </w:rPr>
      </w:pPr>
      <w:r w:rsidRPr="008128F4">
        <w:rPr>
          <w:color w:val="000000" w:themeColor="text1"/>
        </w:rPr>
        <w:t>Council</w:t>
      </w:r>
      <w:r>
        <w:rPr>
          <w:color w:val="000000" w:themeColor="text1"/>
        </w:rPr>
        <w:t>’s</w:t>
      </w:r>
      <w:r w:rsidRPr="008128F4">
        <w:rPr>
          <w:color w:val="000000" w:themeColor="text1"/>
        </w:rPr>
        <w:t xml:space="preserve"> perform</w:t>
      </w:r>
      <w:r>
        <w:rPr>
          <w:color w:val="000000" w:themeColor="text1"/>
        </w:rPr>
        <w:t>ance</w:t>
      </w:r>
      <w:r w:rsidRPr="008128F4">
        <w:rPr>
          <w:color w:val="000000" w:themeColor="text1"/>
        </w:rPr>
        <w:t xml:space="preserve"> in terms of its Asset Maintenance Ratio </w:t>
      </w:r>
      <w:r>
        <w:rPr>
          <w:color w:val="000000" w:themeColor="text1"/>
        </w:rPr>
        <w:t xml:space="preserve">is weak although the Infrastructure Backlog is </w:t>
      </w:r>
      <w:r w:rsidR="00504818">
        <w:rPr>
          <w:color w:val="000000" w:themeColor="text1"/>
        </w:rPr>
        <w:t>lower</w:t>
      </w:r>
      <w:r>
        <w:rPr>
          <w:color w:val="000000" w:themeColor="text1"/>
        </w:rPr>
        <w:t xml:space="preserve"> than its peers. Both ratios are weaker than the benchmarks</w:t>
      </w:r>
    </w:p>
    <w:p w:rsidR="00255D02" w:rsidRDefault="00255D02">
      <w:pPr>
        <w:spacing w:before="0" w:after="0" w:line="240" w:lineRule="auto"/>
        <w:jc w:val="left"/>
        <w:rPr>
          <w:b/>
          <w:sz w:val="28"/>
          <w:szCs w:val="28"/>
        </w:rPr>
      </w:pPr>
      <w:r>
        <w:rPr>
          <w:b/>
          <w:sz w:val="28"/>
          <w:szCs w:val="28"/>
        </w:rPr>
        <w:br w:type="page"/>
      </w:r>
    </w:p>
    <w:p w:rsidR="000A7B79" w:rsidRPr="00893E42" w:rsidRDefault="000A7B79" w:rsidP="00893E42">
      <w:pPr>
        <w:pStyle w:val="Heading1"/>
      </w:pPr>
      <w:r w:rsidRPr="00893E42">
        <w:lastRenderedPageBreak/>
        <w:t>Section 2</w:t>
      </w:r>
      <w:r w:rsidRPr="00893E42">
        <w:tab/>
        <w:t>Introduction</w:t>
      </w:r>
      <w:bookmarkEnd w:id="8"/>
    </w:p>
    <w:p w:rsidR="000A7B79" w:rsidRPr="00255D02" w:rsidRDefault="000A7B79" w:rsidP="00893E42">
      <w:pPr>
        <w:pStyle w:val="Heading2"/>
        <w:spacing w:before="220" w:after="220" w:line="280" w:lineRule="exact"/>
      </w:pPr>
      <w:bookmarkStart w:id="9" w:name="_Toc326918013"/>
      <w:r w:rsidRPr="00255D02">
        <w:t>2.1:</w:t>
      </w:r>
      <w:r w:rsidRPr="00255D02">
        <w:tab/>
        <w:t>Purpose of Report</w:t>
      </w:r>
      <w:bookmarkEnd w:id="9"/>
    </w:p>
    <w:p w:rsidR="000A7B79" w:rsidRPr="00893E42" w:rsidRDefault="000A7B79" w:rsidP="00893E42">
      <w:pPr>
        <w:pStyle w:val="Heading3"/>
        <w:rPr>
          <w:u w:val="none"/>
        </w:rPr>
      </w:pPr>
      <w:r w:rsidRPr="00893E42">
        <w:rPr>
          <w:u w:val="none"/>
        </w:rPr>
        <w:t>This report provides the Council with an independent assessment of their financial capacity and performance measured against a peer group of councils which will complement their internal due diligence, and the IP&amp;R system of the Council and the DLG.</w:t>
      </w:r>
    </w:p>
    <w:p w:rsidR="000A7B79" w:rsidRPr="00893E42" w:rsidRDefault="000A7B79" w:rsidP="00893E42">
      <w:pPr>
        <w:pStyle w:val="Heading3"/>
        <w:rPr>
          <w:u w:val="none"/>
        </w:rPr>
      </w:pPr>
      <w:r w:rsidRPr="00893E42">
        <w:rPr>
          <w:u w:val="none"/>
        </w:rPr>
        <w:t>The report is to be provided to the LIRS Assessment Panel for its use in considering applications received under the LIRS.</w:t>
      </w:r>
    </w:p>
    <w:p w:rsidR="000A7B79" w:rsidRPr="00893E42" w:rsidRDefault="000A7B79" w:rsidP="00893E42">
      <w:pPr>
        <w:pStyle w:val="Heading3"/>
        <w:rPr>
          <w:u w:val="none"/>
        </w:rPr>
      </w:pPr>
      <w:r w:rsidRPr="00893E42">
        <w:rPr>
          <w:u w:val="none"/>
        </w:rPr>
        <w:t>The key areas focused on are:</w:t>
      </w:r>
    </w:p>
    <w:p w:rsidR="000A7B79" w:rsidRPr="00255D02" w:rsidRDefault="000A7B79" w:rsidP="006A6926">
      <w:pPr>
        <w:pStyle w:val="ListParagraph"/>
        <w:numPr>
          <w:ilvl w:val="0"/>
          <w:numId w:val="1"/>
        </w:numPr>
        <w:ind w:left="714" w:hanging="357"/>
      </w:pPr>
      <w:r w:rsidRPr="00255D02">
        <w:t>The financial capacity of the Council to undertake additional borrowings</w:t>
      </w:r>
    </w:p>
    <w:p w:rsidR="000A7B79" w:rsidRPr="00255D02" w:rsidRDefault="000A7B79" w:rsidP="006A6926">
      <w:pPr>
        <w:pStyle w:val="ListParagraph"/>
        <w:numPr>
          <w:ilvl w:val="0"/>
          <w:numId w:val="1"/>
        </w:numPr>
        <w:ind w:left="714" w:hanging="357"/>
      </w:pPr>
      <w:r w:rsidRPr="00255D02">
        <w:t>The financial performance of the Council in comparison to a range of similar councils and measured against prudent benchmarks</w:t>
      </w:r>
    </w:p>
    <w:p w:rsidR="00426FBC" w:rsidRDefault="00426FBC">
      <w:pPr>
        <w:pStyle w:val="Heading3"/>
      </w:pPr>
      <w:bookmarkStart w:id="10" w:name="_Toc326918014"/>
    </w:p>
    <w:p w:rsidR="00FB5E80" w:rsidRPr="00374A23" w:rsidRDefault="00FB5E80" w:rsidP="00893E42">
      <w:pPr>
        <w:pStyle w:val="Heading2"/>
        <w:spacing w:before="220" w:after="220" w:line="280" w:lineRule="exact"/>
      </w:pPr>
      <w:r w:rsidRPr="00374A23">
        <w:t>2.2:</w:t>
      </w:r>
      <w:r w:rsidRPr="00374A23">
        <w:tab/>
        <w:t>Scope and Methodology</w:t>
      </w:r>
      <w:bookmarkEnd w:id="10"/>
    </w:p>
    <w:p w:rsidR="00052A63" w:rsidRPr="00893E42" w:rsidRDefault="00052A63" w:rsidP="00893E42">
      <w:pPr>
        <w:pStyle w:val="Heading3"/>
        <w:rPr>
          <w:u w:val="none"/>
        </w:rPr>
      </w:pPr>
      <w:proofErr w:type="spellStart"/>
      <w:r w:rsidRPr="00893E42">
        <w:rPr>
          <w:u w:val="none"/>
        </w:rPr>
        <w:t>TCorp’s</w:t>
      </w:r>
      <w:proofErr w:type="spellEnd"/>
      <w:r w:rsidRPr="00893E42">
        <w:rPr>
          <w:u w:val="none"/>
        </w:rPr>
        <w:t xml:space="preserve"> approach was to:</w:t>
      </w:r>
    </w:p>
    <w:p w:rsidR="00052A63" w:rsidRPr="009237DF" w:rsidRDefault="00052A63" w:rsidP="006A6926">
      <w:pPr>
        <w:pStyle w:val="ListParagraph"/>
        <w:numPr>
          <w:ilvl w:val="0"/>
          <w:numId w:val="1"/>
        </w:numPr>
        <w:ind w:left="714" w:hanging="357"/>
      </w:pPr>
      <w:r w:rsidRPr="009237DF">
        <w:t xml:space="preserve">Review the most recent three years of the Council’s consolidated audited accounts using financial ratio analysis.  In undertaking the ratio analysis </w:t>
      </w:r>
      <w:proofErr w:type="spellStart"/>
      <w:r w:rsidRPr="009237DF">
        <w:t>TCorp</w:t>
      </w:r>
      <w:proofErr w:type="spellEnd"/>
      <w:r w:rsidRPr="009237DF">
        <w:t xml:space="preserve"> has utilised ratio’s substantially consistent with those used by Queensland Treasury Corporation (QTC) initially in its review of Queensland Local Government (2008), and subsequently updated in 2011 </w:t>
      </w:r>
    </w:p>
    <w:p w:rsidR="00052A63" w:rsidRPr="009237DF" w:rsidRDefault="00052A63" w:rsidP="006A6926">
      <w:pPr>
        <w:pStyle w:val="ListParagraph"/>
        <w:numPr>
          <w:ilvl w:val="0"/>
          <w:numId w:val="1"/>
        </w:numPr>
        <w:ind w:left="714" w:hanging="357"/>
      </w:pPr>
      <w:r w:rsidRPr="009237DF">
        <w:t>Conduct a detailed review of the Council’s 10 year financial forecasts including a review of the key assumptions that underpin the financial forecasts.  The review of the financial forecasts focused on the particular Council fund that was undertaking the proposed debt commitment.  For example where a project is being funded from the General fund we focussed our review on the General fund</w:t>
      </w:r>
    </w:p>
    <w:p w:rsidR="00052A63" w:rsidRPr="009237DF" w:rsidRDefault="00052A63" w:rsidP="006A6926">
      <w:pPr>
        <w:pStyle w:val="ListParagraph"/>
        <w:numPr>
          <w:ilvl w:val="0"/>
          <w:numId w:val="1"/>
        </w:numPr>
        <w:ind w:left="714" w:hanging="357"/>
      </w:pPr>
      <w:r w:rsidRPr="009237DF">
        <w:t>Identify significant changes to future financial forecasts from existing financial performance and highlight risks associated with such forecasts</w:t>
      </w:r>
    </w:p>
    <w:p w:rsidR="00052A63" w:rsidRPr="009237DF" w:rsidRDefault="00052A63" w:rsidP="006A6926">
      <w:pPr>
        <w:pStyle w:val="ListParagraph"/>
        <w:numPr>
          <w:ilvl w:val="0"/>
          <w:numId w:val="1"/>
        </w:numPr>
        <w:ind w:left="714" w:hanging="357"/>
      </w:pPr>
      <w:r w:rsidRPr="009237DF">
        <w:t>Conduct a benchmark review of a Council’s performance against its peer group</w:t>
      </w:r>
    </w:p>
    <w:p w:rsidR="00052A63" w:rsidRPr="009237DF" w:rsidRDefault="00052A63" w:rsidP="006A6926">
      <w:pPr>
        <w:pStyle w:val="ListParagraph"/>
        <w:numPr>
          <w:ilvl w:val="0"/>
          <w:numId w:val="1"/>
        </w:numPr>
        <w:ind w:left="714" w:hanging="357"/>
      </w:pPr>
      <w:r w:rsidRPr="009237DF">
        <w:t xml:space="preserve">Prepare a report that provides an overview of the Council’s existing and forecast financial </w:t>
      </w:r>
      <w:r w:rsidR="005533F2">
        <w:t>p</w:t>
      </w:r>
      <w:r w:rsidRPr="009237DF">
        <w:t>osition and its capacity to meet increased debt commitments</w:t>
      </w:r>
    </w:p>
    <w:p w:rsidR="00052A63" w:rsidRPr="009237DF" w:rsidRDefault="00052A63" w:rsidP="006A6926">
      <w:pPr>
        <w:pStyle w:val="ListParagraph"/>
        <w:numPr>
          <w:ilvl w:val="0"/>
          <w:numId w:val="1"/>
        </w:numPr>
        <w:ind w:left="714" w:hanging="357"/>
      </w:pPr>
      <w:r w:rsidRPr="009237DF">
        <w:t>Conduct a high level review of the Council’s IP&amp;R documents for factors which could impact the Council’s financial capacity and performance</w:t>
      </w:r>
    </w:p>
    <w:p w:rsidR="00052A63" w:rsidRPr="00893E42" w:rsidRDefault="00052A63" w:rsidP="00893E42">
      <w:pPr>
        <w:pStyle w:val="Heading3"/>
        <w:rPr>
          <w:u w:val="none"/>
        </w:rPr>
      </w:pPr>
      <w:r w:rsidRPr="00893E42">
        <w:rPr>
          <w:u w:val="none"/>
        </w:rPr>
        <w:t xml:space="preserve">In undertaking its work, </w:t>
      </w:r>
      <w:proofErr w:type="spellStart"/>
      <w:r w:rsidRPr="00893E42">
        <w:rPr>
          <w:u w:val="none"/>
        </w:rPr>
        <w:t>TCorp</w:t>
      </w:r>
      <w:proofErr w:type="spellEnd"/>
      <w:r w:rsidRPr="00893E42">
        <w:rPr>
          <w:u w:val="none"/>
        </w:rPr>
        <w:t xml:space="preserve"> relied on:</w:t>
      </w:r>
    </w:p>
    <w:p w:rsidR="00052A63" w:rsidRPr="009237DF" w:rsidRDefault="00052A63" w:rsidP="006A6926">
      <w:pPr>
        <w:pStyle w:val="ListParagraph"/>
        <w:numPr>
          <w:ilvl w:val="0"/>
          <w:numId w:val="1"/>
        </w:numPr>
        <w:ind w:left="714" w:hanging="357"/>
      </w:pPr>
      <w:r w:rsidRPr="009237DF">
        <w:t>Council’s audited financial statements (2008/09 to 2010/11)</w:t>
      </w:r>
    </w:p>
    <w:p w:rsidR="00052A63" w:rsidRPr="009237DF" w:rsidRDefault="00052A63" w:rsidP="006A6926">
      <w:pPr>
        <w:pStyle w:val="ListParagraph"/>
        <w:numPr>
          <w:ilvl w:val="0"/>
          <w:numId w:val="1"/>
        </w:numPr>
        <w:ind w:left="714" w:hanging="357"/>
      </w:pPr>
      <w:r w:rsidRPr="009237DF">
        <w:t>Council’s financial forecast model</w:t>
      </w:r>
    </w:p>
    <w:p w:rsidR="00052A63" w:rsidRPr="009237DF" w:rsidRDefault="00052A63" w:rsidP="006A6926">
      <w:pPr>
        <w:pStyle w:val="ListParagraph"/>
        <w:numPr>
          <w:ilvl w:val="0"/>
          <w:numId w:val="1"/>
        </w:numPr>
        <w:ind w:left="714" w:hanging="357"/>
      </w:pPr>
      <w:r w:rsidRPr="009237DF">
        <w:t>Council’s IP&amp;R documents</w:t>
      </w:r>
    </w:p>
    <w:p w:rsidR="00052A63" w:rsidRPr="009237DF" w:rsidRDefault="00052A63" w:rsidP="006A6926">
      <w:pPr>
        <w:pStyle w:val="ListParagraph"/>
        <w:numPr>
          <w:ilvl w:val="0"/>
          <w:numId w:val="1"/>
        </w:numPr>
        <w:ind w:left="714" w:hanging="357"/>
      </w:pPr>
      <w:r w:rsidRPr="009237DF">
        <w:t>Discussions with Council officers</w:t>
      </w:r>
    </w:p>
    <w:p w:rsidR="00052A63" w:rsidRPr="009237DF" w:rsidRDefault="00052A63" w:rsidP="006A6926">
      <w:pPr>
        <w:pStyle w:val="ListParagraph"/>
        <w:numPr>
          <w:ilvl w:val="0"/>
          <w:numId w:val="1"/>
        </w:numPr>
        <w:ind w:left="714" w:hanging="357"/>
      </w:pPr>
      <w:r w:rsidRPr="009237DF">
        <w:t>Council’s submissions to the DLG as part of their LIRS application</w:t>
      </w:r>
    </w:p>
    <w:p w:rsidR="00052A63" w:rsidRPr="009237DF" w:rsidRDefault="00052A63" w:rsidP="006A6926">
      <w:pPr>
        <w:pStyle w:val="ListParagraph"/>
        <w:numPr>
          <w:ilvl w:val="0"/>
          <w:numId w:val="1"/>
        </w:numPr>
        <w:ind w:left="714" w:hanging="357"/>
      </w:pPr>
      <w:r w:rsidRPr="009237DF">
        <w:t>Other publicly available information such as information published on the IPART website</w:t>
      </w:r>
    </w:p>
    <w:p w:rsidR="00210228" w:rsidRDefault="00210228" w:rsidP="00210228">
      <w:pPr>
        <w:pStyle w:val="Heading3"/>
      </w:pPr>
      <w:r>
        <w:lastRenderedPageBreak/>
        <w:t>Benchmark Ratios</w:t>
      </w:r>
    </w:p>
    <w:p w:rsidR="00F264B1" w:rsidRPr="00AE547D" w:rsidRDefault="00210228" w:rsidP="00F264B1">
      <w:pPr>
        <w:pStyle w:val="Title"/>
      </w:pPr>
      <w:r w:rsidRPr="00893E42">
        <w:t xml:space="preserve">In conducting our review of the Councils’ financial performance and forecasts we have measured performance against a set of benchmarks.  These benchmarks are listed below.  </w:t>
      </w:r>
      <w:r w:rsidR="00F264B1" w:rsidRPr="00AE547D">
        <w:t>Benchmarks do not necessarily represent a pass or fail in respect of any particular area.  One-off projects or events can impact a council’s performance against a benchmark for a short period.  Other factors such as the trends in results against the benchmarks are critical as well as the overall performance against all the benchmarks.  As councils can have significant differences in their size and population densities, it is important to note that one benchmark does not fit all.</w:t>
      </w:r>
    </w:p>
    <w:p w:rsidR="00F264B1" w:rsidRPr="00AE547D" w:rsidRDefault="00F264B1" w:rsidP="00F264B1">
      <w:pPr>
        <w:pStyle w:val="Title"/>
      </w:pPr>
      <w:r w:rsidRPr="00AE547D">
        <w:t>For example, the Cash Expense Ratio should be greater for smaller councils than larger councils as a protection against variation in performance and financial shocks.</w:t>
      </w:r>
    </w:p>
    <w:p w:rsidR="00F264B1" w:rsidRDefault="00F264B1" w:rsidP="00F264B1">
      <w:pPr>
        <w:pStyle w:val="Title"/>
      </w:pPr>
      <w:r w:rsidRPr="00AE547D">
        <w:t>Therefore these benchmarks are intended as a guide to performance.</w:t>
      </w:r>
    </w:p>
    <w:p w:rsidR="00210228" w:rsidRPr="00893E42" w:rsidRDefault="00210228" w:rsidP="00893E42">
      <w:pPr>
        <w:pStyle w:val="Heading3"/>
        <w:rPr>
          <w:u w:val="none"/>
        </w:rPr>
      </w:pPr>
      <w:r w:rsidRPr="00893E42">
        <w:rPr>
          <w:u w:val="none"/>
        </w:rPr>
        <w:t>The Glossary attached to this report explains how each ratio is calculated.</w:t>
      </w:r>
    </w:p>
    <w:tbl>
      <w:tblPr>
        <w:tblW w:w="5619" w:type="dxa"/>
        <w:jc w:val="center"/>
        <w:tblInd w:w="590" w:type="dxa"/>
        <w:tblLook w:val="04A0" w:firstRow="1" w:lastRow="0" w:firstColumn="1" w:lastColumn="0" w:noHBand="0" w:noVBand="1"/>
      </w:tblPr>
      <w:tblGrid>
        <w:gridCol w:w="4180"/>
        <w:gridCol w:w="1439"/>
      </w:tblGrid>
      <w:tr w:rsidR="00210228" w:rsidRPr="008E54D1" w:rsidTr="00B4688C">
        <w:trPr>
          <w:trHeight w:val="330"/>
          <w:jc w:val="center"/>
        </w:trPr>
        <w:tc>
          <w:tcPr>
            <w:tcW w:w="4180" w:type="dxa"/>
            <w:tcBorders>
              <w:top w:val="single" w:sz="4" w:space="0" w:color="auto"/>
              <w:left w:val="single" w:sz="4" w:space="0" w:color="auto"/>
              <w:bottom w:val="single" w:sz="4" w:space="0" w:color="auto"/>
              <w:right w:val="single" w:sz="4" w:space="0" w:color="auto"/>
            </w:tcBorders>
            <w:shd w:val="clear" w:color="000000" w:fill="BACFF8"/>
            <w:noWrap/>
            <w:vAlign w:val="bottom"/>
            <w:hideMark/>
          </w:tcPr>
          <w:p w:rsidR="00210228" w:rsidRPr="008E54D1" w:rsidRDefault="00210228" w:rsidP="00B4688C">
            <w:pPr>
              <w:spacing w:before="0" w:after="0" w:line="240" w:lineRule="auto"/>
              <w:jc w:val="left"/>
              <w:rPr>
                <w:rFonts w:cs="Calibri"/>
                <w:b/>
                <w:bCs/>
                <w:color w:val="000000"/>
                <w:spacing w:val="0"/>
                <w:kern w:val="0"/>
              </w:rPr>
            </w:pPr>
            <w:r w:rsidRPr="008E54D1">
              <w:rPr>
                <w:rFonts w:cs="Calibri"/>
                <w:b/>
                <w:bCs/>
                <w:color w:val="000000"/>
                <w:spacing w:val="0"/>
                <w:kern w:val="0"/>
              </w:rPr>
              <w:t>Ratio</w:t>
            </w:r>
          </w:p>
        </w:tc>
        <w:tc>
          <w:tcPr>
            <w:tcW w:w="1439" w:type="dxa"/>
            <w:tcBorders>
              <w:top w:val="single" w:sz="4" w:space="0" w:color="auto"/>
              <w:left w:val="nil"/>
              <w:bottom w:val="single" w:sz="4" w:space="0" w:color="auto"/>
              <w:right w:val="single" w:sz="4" w:space="0" w:color="auto"/>
            </w:tcBorders>
            <w:shd w:val="clear" w:color="000000" w:fill="BACFF8"/>
            <w:noWrap/>
            <w:vAlign w:val="bottom"/>
            <w:hideMark/>
          </w:tcPr>
          <w:p w:rsidR="00210228" w:rsidRPr="008E54D1" w:rsidRDefault="00210228" w:rsidP="00B4688C">
            <w:pPr>
              <w:spacing w:before="0" w:after="0" w:line="240" w:lineRule="auto"/>
              <w:jc w:val="left"/>
              <w:rPr>
                <w:rFonts w:cs="Calibri"/>
                <w:b/>
                <w:bCs/>
                <w:color w:val="000000"/>
                <w:spacing w:val="0"/>
                <w:kern w:val="0"/>
              </w:rPr>
            </w:pPr>
            <w:r w:rsidRPr="008E54D1">
              <w:rPr>
                <w:rFonts w:cs="Calibri"/>
                <w:b/>
                <w:bCs/>
                <w:color w:val="000000"/>
                <w:spacing w:val="0"/>
                <w:kern w:val="0"/>
              </w:rPr>
              <w:t>Benchmark</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Operating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(4.0%)</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Cash Expense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3.0 months</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Unrestricted Current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1.5</w:t>
            </w:r>
            <w:r w:rsidR="00426FBC">
              <w:rPr>
                <w:rFonts w:cs="Calibri"/>
                <w:color w:val="000000"/>
                <w:spacing w:val="0"/>
                <w:kern w:val="0"/>
              </w:rPr>
              <w:t>0</w:t>
            </w:r>
            <w:r w:rsidRPr="008E54D1">
              <w:rPr>
                <w:rFonts w:cs="Calibri"/>
                <w:color w:val="000000"/>
                <w:spacing w:val="0"/>
                <w:kern w:val="0"/>
              </w:rPr>
              <w:t>x</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Own Source Operating Revenue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60.0%</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Debt Service Cover Ratio (DSCR)</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2.0</w:t>
            </w:r>
            <w:r w:rsidR="00426FBC">
              <w:rPr>
                <w:rFonts w:cs="Calibri"/>
                <w:color w:val="000000"/>
                <w:spacing w:val="0"/>
                <w:kern w:val="0"/>
              </w:rPr>
              <w:t>0</w:t>
            </w:r>
            <w:r w:rsidRPr="008E54D1">
              <w:rPr>
                <w:rFonts w:cs="Calibri"/>
                <w:color w:val="000000"/>
                <w:spacing w:val="0"/>
                <w:kern w:val="0"/>
              </w:rPr>
              <w:t>x</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Interest Cover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4.0</w:t>
            </w:r>
            <w:r w:rsidR="00426FBC">
              <w:rPr>
                <w:rFonts w:cs="Calibri"/>
                <w:color w:val="000000"/>
                <w:spacing w:val="0"/>
                <w:kern w:val="0"/>
              </w:rPr>
              <w:t>0</w:t>
            </w:r>
            <w:r w:rsidRPr="008E54D1">
              <w:rPr>
                <w:rFonts w:cs="Calibri"/>
                <w:color w:val="000000"/>
                <w:spacing w:val="0"/>
                <w:kern w:val="0"/>
              </w:rPr>
              <w:t>x</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Infrastructure Backlog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FA463D" w:rsidRDefault="00210228" w:rsidP="00B4688C">
            <w:pPr>
              <w:spacing w:before="0" w:after="0" w:line="240" w:lineRule="auto"/>
              <w:jc w:val="center"/>
              <w:rPr>
                <w:rFonts w:cs="Calibri"/>
                <w:color w:val="000000"/>
                <w:spacing w:val="0"/>
                <w:kern w:val="0"/>
              </w:rPr>
            </w:pPr>
            <w:r w:rsidRPr="00FA463D">
              <w:rPr>
                <w:rFonts w:cs="Calibri"/>
                <w:color w:val="000000"/>
                <w:spacing w:val="0"/>
                <w:kern w:val="0"/>
              </w:rPr>
              <w:t>&lt; 0.02x</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Asset Maintenance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FA463D" w:rsidRDefault="00210228" w:rsidP="00B4688C">
            <w:pPr>
              <w:spacing w:before="0" w:after="0" w:line="240" w:lineRule="auto"/>
              <w:jc w:val="center"/>
              <w:rPr>
                <w:rFonts w:cs="Calibri"/>
                <w:color w:val="000000"/>
                <w:spacing w:val="0"/>
                <w:kern w:val="0"/>
              </w:rPr>
            </w:pPr>
            <w:r w:rsidRPr="00FA463D">
              <w:rPr>
                <w:rFonts w:cs="Calibri"/>
                <w:color w:val="000000"/>
                <w:spacing w:val="0"/>
                <w:kern w:val="0"/>
              </w:rPr>
              <w:t>&gt; 1.0</w:t>
            </w:r>
            <w:r w:rsidR="00426FBC">
              <w:rPr>
                <w:rFonts w:cs="Calibri"/>
                <w:color w:val="000000"/>
                <w:spacing w:val="0"/>
                <w:kern w:val="0"/>
              </w:rPr>
              <w:t>0</w:t>
            </w:r>
            <w:r w:rsidRPr="00FA463D">
              <w:rPr>
                <w:rFonts w:cs="Calibri"/>
                <w:color w:val="000000"/>
                <w:spacing w:val="0"/>
                <w:kern w:val="0"/>
              </w:rPr>
              <w:t>x</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Building and infrastructure asset renewal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FA463D" w:rsidRDefault="00210228" w:rsidP="00B4688C">
            <w:pPr>
              <w:spacing w:before="0" w:after="0" w:line="240" w:lineRule="auto"/>
              <w:jc w:val="center"/>
              <w:rPr>
                <w:rFonts w:cs="Calibri"/>
                <w:color w:val="000000"/>
                <w:spacing w:val="0"/>
                <w:kern w:val="0"/>
              </w:rPr>
            </w:pPr>
            <w:r w:rsidRPr="00FA463D">
              <w:rPr>
                <w:rFonts w:cs="Calibri"/>
                <w:color w:val="000000"/>
                <w:spacing w:val="0"/>
                <w:kern w:val="0"/>
              </w:rPr>
              <w:t>&gt; 1.0</w:t>
            </w:r>
            <w:r w:rsidR="00426FBC">
              <w:rPr>
                <w:rFonts w:cs="Calibri"/>
                <w:color w:val="000000"/>
                <w:spacing w:val="0"/>
                <w:kern w:val="0"/>
              </w:rPr>
              <w:t>0</w:t>
            </w:r>
            <w:r w:rsidRPr="00FA463D">
              <w:rPr>
                <w:rFonts w:cs="Calibri"/>
                <w:color w:val="000000"/>
                <w:spacing w:val="0"/>
                <w:kern w:val="0"/>
              </w:rPr>
              <w:t>x</w:t>
            </w:r>
          </w:p>
        </w:tc>
      </w:tr>
      <w:tr w:rsidR="00210228" w:rsidRPr="008E54D1" w:rsidTr="00B4688C">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10228" w:rsidRPr="00893E42" w:rsidRDefault="00210228" w:rsidP="00893E42">
            <w:pPr>
              <w:autoSpaceDE w:val="0"/>
              <w:autoSpaceDN w:val="0"/>
              <w:adjustRightInd w:val="0"/>
              <w:spacing w:before="40" w:after="40" w:line="240" w:lineRule="auto"/>
              <w:jc w:val="left"/>
              <w:rPr>
                <w:rStyle w:val="SubtleEmphasis"/>
              </w:rPr>
            </w:pPr>
            <w:r w:rsidRPr="00893E42">
              <w:rPr>
                <w:rStyle w:val="SubtleEmphasis"/>
              </w:rPr>
              <w:t>Capital Expenditure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B4688C">
            <w:pPr>
              <w:spacing w:before="0" w:after="0" w:line="240" w:lineRule="auto"/>
              <w:jc w:val="center"/>
              <w:rPr>
                <w:rFonts w:cs="Calibri"/>
                <w:color w:val="000000"/>
                <w:spacing w:val="0"/>
                <w:kern w:val="0"/>
              </w:rPr>
            </w:pPr>
            <w:r>
              <w:rPr>
                <w:rFonts w:cs="Calibri"/>
                <w:color w:val="000000"/>
                <w:spacing w:val="0"/>
                <w:kern w:val="0"/>
              </w:rPr>
              <w:t xml:space="preserve">&gt; </w:t>
            </w:r>
            <w:r w:rsidRPr="008E54D1">
              <w:rPr>
                <w:rFonts w:cs="Calibri"/>
                <w:color w:val="000000"/>
                <w:spacing w:val="0"/>
                <w:kern w:val="0"/>
              </w:rPr>
              <w:t>1.1</w:t>
            </w:r>
            <w:r w:rsidR="00426FBC">
              <w:rPr>
                <w:rFonts w:cs="Calibri"/>
                <w:color w:val="000000"/>
                <w:spacing w:val="0"/>
                <w:kern w:val="0"/>
              </w:rPr>
              <w:t>0</w:t>
            </w:r>
            <w:r w:rsidRPr="008E54D1">
              <w:rPr>
                <w:rFonts w:cs="Calibri"/>
                <w:color w:val="000000"/>
                <w:spacing w:val="0"/>
                <w:kern w:val="0"/>
              </w:rPr>
              <w:t>x</w:t>
            </w:r>
          </w:p>
        </w:tc>
      </w:tr>
    </w:tbl>
    <w:p w:rsidR="00052A63" w:rsidRDefault="00052A63" w:rsidP="000A7B79">
      <w:pPr>
        <w:spacing w:before="0" w:after="200" w:line="276" w:lineRule="auto"/>
        <w:jc w:val="left"/>
        <w:rPr>
          <w:b/>
        </w:rPr>
      </w:pPr>
    </w:p>
    <w:p w:rsidR="000A7B79" w:rsidRPr="005672E3" w:rsidRDefault="00893E42" w:rsidP="00893E42">
      <w:pPr>
        <w:pStyle w:val="Heading2"/>
        <w:spacing w:before="220" w:after="220" w:line="280" w:lineRule="exact"/>
      </w:pPr>
      <w:bookmarkStart w:id="11" w:name="_Toc326918015"/>
      <w:r>
        <w:br w:type="page"/>
      </w:r>
      <w:r w:rsidR="000A7B79" w:rsidRPr="005672E3">
        <w:lastRenderedPageBreak/>
        <w:t>2.</w:t>
      </w:r>
      <w:r w:rsidR="00505C59" w:rsidRPr="005672E3">
        <w:t>3</w:t>
      </w:r>
      <w:r w:rsidR="000A7B79" w:rsidRPr="005672E3">
        <w:t>:</w:t>
      </w:r>
      <w:r w:rsidR="000A7B79" w:rsidRPr="005672E3">
        <w:tab/>
        <w:t>Overview of the Local Government Area</w:t>
      </w:r>
      <w:bookmarkEnd w:id="11"/>
    </w:p>
    <w:tbl>
      <w:tblPr>
        <w:tblW w:w="5528" w:type="dxa"/>
        <w:tblInd w:w="1384" w:type="dxa"/>
        <w:tblLook w:val="04A0" w:firstRow="1" w:lastRow="0" w:firstColumn="1" w:lastColumn="0" w:noHBand="0" w:noVBand="1"/>
      </w:tblPr>
      <w:tblGrid>
        <w:gridCol w:w="2977"/>
        <w:gridCol w:w="2551"/>
      </w:tblGrid>
      <w:tr w:rsidR="000A7B79" w:rsidRPr="00154AFD" w:rsidTr="00893E42">
        <w:trPr>
          <w:trHeight w:val="330"/>
        </w:trPr>
        <w:tc>
          <w:tcPr>
            <w:tcW w:w="5528" w:type="dxa"/>
            <w:gridSpan w:val="2"/>
            <w:tcBorders>
              <w:top w:val="single" w:sz="4" w:space="0" w:color="auto"/>
              <w:left w:val="single" w:sz="4" w:space="0" w:color="auto"/>
              <w:bottom w:val="single" w:sz="4" w:space="0" w:color="auto"/>
              <w:right w:val="single" w:sz="4" w:space="0" w:color="000000"/>
            </w:tcBorders>
            <w:shd w:val="clear" w:color="000000" w:fill="BACFF8"/>
            <w:noWrap/>
            <w:vAlign w:val="bottom"/>
            <w:hideMark/>
          </w:tcPr>
          <w:p w:rsidR="000A7B79" w:rsidRPr="00374A23" w:rsidRDefault="006A6926" w:rsidP="00981189">
            <w:pPr>
              <w:spacing w:before="0" w:after="0" w:line="240" w:lineRule="auto"/>
              <w:jc w:val="center"/>
              <w:rPr>
                <w:rStyle w:val="Emphasis"/>
              </w:rPr>
            </w:pPr>
            <w:r w:rsidRPr="008146A3">
              <w:rPr>
                <w:b/>
                <w:bCs/>
                <w:color w:val="000000"/>
                <w:spacing w:val="0"/>
                <w:kern w:val="0"/>
              </w:rPr>
              <w:t>Shoalhaven City Council LGA</w:t>
            </w:r>
          </w:p>
        </w:tc>
      </w:tr>
      <w:tr w:rsidR="000A7B79" w:rsidRPr="00154AFD" w:rsidTr="00893E42">
        <w:trPr>
          <w:trHeight w:val="330"/>
        </w:trPr>
        <w:tc>
          <w:tcPr>
            <w:tcW w:w="2977" w:type="dxa"/>
            <w:tcBorders>
              <w:top w:val="nil"/>
              <w:left w:val="single" w:sz="4" w:space="0" w:color="auto"/>
              <w:bottom w:val="single" w:sz="4" w:space="0" w:color="auto"/>
              <w:right w:val="nil"/>
            </w:tcBorders>
            <w:shd w:val="clear" w:color="000000" w:fill="EBF2FA"/>
            <w:noWrap/>
            <w:vAlign w:val="bottom"/>
            <w:hideMark/>
          </w:tcPr>
          <w:p w:rsidR="000A7B79" w:rsidRPr="00374A23" w:rsidRDefault="000A7B79" w:rsidP="00893E42">
            <w:pPr>
              <w:autoSpaceDE w:val="0"/>
              <w:autoSpaceDN w:val="0"/>
              <w:adjustRightInd w:val="0"/>
              <w:spacing w:before="40" w:after="40" w:line="240" w:lineRule="auto"/>
              <w:jc w:val="left"/>
              <w:rPr>
                <w:rStyle w:val="SubtleEmphasis"/>
              </w:rPr>
            </w:pPr>
            <w:r w:rsidRPr="00374A23">
              <w:rPr>
                <w:rStyle w:val="SubtleEmphasis"/>
              </w:rPr>
              <w:t>Locality &amp; Size</w:t>
            </w:r>
          </w:p>
        </w:tc>
        <w:tc>
          <w:tcPr>
            <w:tcW w:w="2551" w:type="dxa"/>
            <w:tcBorders>
              <w:top w:val="nil"/>
              <w:left w:val="nil"/>
              <w:bottom w:val="single" w:sz="4" w:space="0" w:color="auto"/>
              <w:right w:val="single" w:sz="4" w:space="0" w:color="auto"/>
            </w:tcBorders>
            <w:shd w:val="clear" w:color="000000" w:fill="EBF2FA"/>
            <w:noWrap/>
            <w:vAlign w:val="bottom"/>
            <w:hideMark/>
          </w:tcPr>
          <w:p w:rsidR="000A7B79" w:rsidRPr="00154AFD" w:rsidRDefault="000A7B79" w:rsidP="00981189">
            <w:pPr>
              <w:spacing w:before="0" w:after="0" w:line="240" w:lineRule="auto"/>
              <w:jc w:val="left"/>
              <w:rPr>
                <w:rFonts w:cs="Calibri"/>
                <w:color w:val="000000"/>
                <w:spacing w:val="0"/>
                <w:kern w:val="0"/>
              </w:rPr>
            </w:pPr>
            <w:r w:rsidRPr="00154AFD">
              <w:rPr>
                <w:rFonts w:cs="Calibri"/>
                <w:color w:val="000000"/>
                <w:spacing w:val="0"/>
                <w:kern w:val="0"/>
              </w:rPr>
              <w:t> </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374A23" w:rsidRDefault="006A6926" w:rsidP="00893E42">
            <w:pPr>
              <w:autoSpaceDE w:val="0"/>
              <w:autoSpaceDN w:val="0"/>
              <w:adjustRightInd w:val="0"/>
              <w:spacing w:before="40" w:after="40" w:line="240" w:lineRule="auto"/>
              <w:jc w:val="left"/>
              <w:rPr>
                <w:rStyle w:val="SubtleEmphasis"/>
              </w:rPr>
            </w:pPr>
            <w:r w:rsidRPr="00374A23">
              <w:rPr>
                <w:rStyle w:val="SubtleEmphasis"/>
              </w:rPr>
              <w:t>Locality</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sidRPr="00EA174E">
              <w:rPr>
                <w:color w:val="000000"/>
                <w:spacing w:val="0"/>
                <w:kern w:val="0"/>
              </w:rPr>
              <w:t>Illawarra</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374A23" w:rsidRDefault="006A6926" w:rsidP="00893E42">
            <w:pPr>
              <w:autoSpaceDE w:val="0"/>
              <w:autoSpaceDN w:val="0"/>
              <w:adjustRightInd w:val="0"/>
              <w:spacing w:before="40" w:after="40" w:line="240" w:lineRule="auto"/>
              <w:jc w:val="left"/>
              <w:rPr>
                <w:rStyle w:val="SubtleEmphasis"/>
              </w:rPr>
            </w:pPr>
            <w:r w:rsidRPr="00374A23">
              <w:rPr>
                <w:rStyle w:val="SubtleEmphasis"/>
              </w:rPr>
              <w:t>Area</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Pr>
                <w:color w:val="000000"/>
                <w:spacing w:val="0"/>
                <w:kern w:val="0"/>
              </w:rPr>
              <w:t>4,</w:t>
            </w:r>
            <w:r w:rsidRPr="008146A3">
              <w:rPr>
                <w:color w:val="000000"/>
                <w:spacing w:val="0"/>
                <w:kern w:val="0"/>
              </w:rPr>
              <w:t>660 km</w:t>
            </w:r>
            <w:r w:rsidRPr="008146A3">
              <w:rPr>
                <w:rFonts w:ascii="Calibri" w:hAnsi="Calibri"/>
                <w:color w:val="000000"/>
                <w:spacing w:val="0"/>
                <w:kern w:val="0"/>
              </w:rPr>
              <w:t>²</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374A23" w:rsidRDefault="006A6926" w:rsidP="00893E42">
            <w:pPr>
              <w:autoSpaceDE w:val="0"/>
              <w:autoSpaceDN w:val="0"/>
              <w:adjustRightInd w:val="0"/>
              <w:spacing w:before="40" w:after="40" w:line="240" w:lineRule="auto"/>
              <w:jc w:val="left"/>
              <w:rPr>
                <w:rStyle w:val="SubtleEmphasis"/>
              </w:rPr>
            </w:pPr>
            <w:r w:rsidRPr="00374A23">
              <w:rPr>
                <w:rStyle w:val="SubtleEmphasis"/>
              </w:rPr>
              <w:t>DLG Group</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Pr>
                <w:color w:val="000000"/>
                <w:spacing w:val="0"/>
                <w:kern w:val="0"/>
              </w:rPr>
              <w:t>5</w:t>
            </w:r>
          </w:p>
        </w:tc>
      </w:tr>
      <w:tr w:rsidR="000A7B79" w:rsidRPr="00154AFD" w:rsidTr="00893E42">
        <w:trPr>
          <w:trHeight w:val="330"/>
        </w:trPr>
        <w:tc>
          <w:tcPr>
            <w:tcW w:w="2977" w:type="dxa"/>
            <w:tcBorders>
              <w:top w:val="nil"/>
              <w:left w:val="single" w:sz="4" w:space="0" w:color="auto"/>
              <w:bottom w:val="single" w:sz="4" w:space="0" w:color="auto"/>
              <w:right w:val="nil"/>
            </w:tcBorders>
            <w:shd w:val="clear" w:color="000000" w:fill="EBF2FA"/>
            <w:noWrap/>
            <w:vAlign w:val="bottom"/>
            <w:hideMark/>
          </w:tcPr>
          <w:p w:rsidR="000A7B79" w:rsidRPr="00374A23" w:rsidRDefault="000A7B79" w:rsidP="00893E42">
            <w:pPr>
              <w:autoSpaceDE w:val="0"/>
              <w:autoSpaceDN w:val="0"/>
              <w:adjustRightInd w:val="0"/>
              <w:spacing w:before="40" w:after="40" w:line="240" w:lineRule="auto"/>
              <w:jc w:val="left"/>
              <w:rPr>
                <w:rStyle w:val="SubtleEmphasis"/>
              </w:rPr>
            </w:pPr>
            <w:r w:rsidRPr="00374A23">
              <w:rPr>
                <w:rStyle w:val="SubtleEmphasis"/>
              </w:rPr>
              <w:t>Demographics</w:t>
            </w:r>
          </w:p>
        </w:tc>
        <w:tc>
          <w:tcPr>
            <w:tcW w:w="2551" w:type="dxa"/>
            <w:tcBorders>
              <w:top w:val="nil"/>
              <w:left w:val="nil"/>
              <w:bottom w:val="single" w:sz="4" w:space="0" w:color="auto"/>
              <w:right w:val="single" w:sz="4" w:space="0" w:color="auto"/>
            </w:tcBorders>
            <w:shd w:val="clear" w:color="000000" w:fill="EBF2FA"/>
            <w:noWrap/>
            <w:vAlign w:val="bottom"/>
            <w:hideMark/>
          </w:tcPr>
          <w:p w:rsidR="000A7B79" w:rsidRPr="00B55059" w:rsidRDefault="000A7B79" w:rsidP="00981189">
            <w:pPr>
              <w:spacing w:before="0" w:after="0" w:line="240" w:lineRule="auto"/>
              <w:jc w:val="left"/>
              <w:rPr>
                <w:rStyle w:val="SubtleEmphasis"/>
              </w:rPr>
            </w:pP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left"/>
              <w:rPr>
                <w:color w:val="000000"/>
                <w:spacing w:val="0"/>
                <w:kern w:val="0"/>
              </w:rPr>
            </w:pPr>
            <w:r w:rsidRPr="008146A3">
              <w:rPr>
                <w:color w:val="000000"/>
                <w:spacing w:val="0"/>
                <w:kern w:val="0"/>
              </w:rPr>
              <w:t>Population</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sidRPr="008146A3">
              <w:rPr>
                <w:color w:val="000000"/>
                <w:spacing w:val="0"/>
                <w:kern w:val="0"/>
              </w:rPr>
              <w:t>96,967</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sidRPr="00154AFD">
              <w:rPr>
                <w:rFonts w:cs="Calibri"/>
                <w:color w:val="000000"/>
                <w:spacing w:val="0"/>
                <w:kern w:val="0"/>
              </w:rPr>
              <w:t xml:space="preserve">% under </w:t>
            </w:r>
            <w:r>
              <w:rPr>
                <w:rFonts w:cs="Calibri"/>
                <w:color w:val="000000"/>
                <w:spacing w:val="0"/>
                <w:kern w:val="0"/>
              </w:rPr>
              <w:t>20</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center"/>
              <w:rPr>
                <w:rFonts w:cs="Calibri"/>
                <w:color w:val="000000"/>
                <w:spacing w:val="0"/>
                <w:kern w:val="0"/>
              </w:rPr>
            </w:pPr>
            <w:r>
              <w:rPr>
                <w:rFonts w:cs="Calibri"/>
                <w:color w:val="000000"/>
                <w:spacing w:val="0"/>
                <w:kern w:val="0"/>
              </w:rPr>
              <w:t>23.9%</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Pr>
                <w:rFonts w:cs="Calibri"/>
                <w:color w:val="000000"/>
                <w:spacing w:val="0"/>
                <w:kern w:val="0"/>
              </w:rPr>
              <w:t>% between 20</w:t>
            </w:r>
            <w:r w:rsidRPr="00154AFD">
              <w:rPr>
                <w:rFonts w:cs="Calibri"/>
                <w:color w:val="000000"/>
                <w:spacing w:val="0"/>
                <w:kern w:val="0"/>
              </w:rPr>
              <w:t xml:space="preserve"> and 59</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center"/>
              <w:rPr>
                <w:rFonts w:cs="Calibri"/>
                <w:color w:val="000000"/>
                <w:spacing w:val="0"/>
                <w:kern w:val="0"/>
              </w:rPr>
            </w:pPr>
            <w:r>
              <w:rPr>
                <w:rFonts w:cs="Calibri"/>
                <w:color w:val="000000"/>
                <w:spacing w:val="0"/>
                <w:kern w:val="0"/>
              </w:rPr>
              <w:t>46.8%</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sidRPr="00154AFD">
              <w:rPr>
                <w:rFonts w:cs="Calibri"/>
                <w:color w:val="000000"/>
                <w:spacing w:val="0"/>
                <w:kern w:val="0"/>
              </w:rPr>
              <w:t>% over 60</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center"/>
              <w:rPr>
                <w:rFonts w:cs="Calibri"/>
                <w:color w:val="000000"/>
                <w:spacing w:val="0"/>
                <w:kern w:val="0"/>
              </w:rPr>
            </w:pPr>
            <w:r>
              <w:rPr>
                <w:rFonts w:cs="Calibri"/>
                <w:color w:val="000000"/>
                <w:spacing w:val="0"/>
                <w:kern w:val="0"/>
              </w:rPr>
              <w:t>29.4%</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left"/>
              <w:rPr>
                <w:color w:val="000000"/>
                <w:spacing w:val="0"/>
                <w:kern w:val="0"/>
              </w:rPr>
            </w:pPr>
            <w:r w:rsidRPr="00154AFD">
              <w:rPr>
                <w:rFonts w:cs="Calibri"/>
                <w:color w:val="000000"/>
                <w:spacing w:val="0"/>
                <w:kern w:val="0"/>
              </w:rPr>
              <w:t xml:space="preserve">Expected population </w:t>
            </w:r>
            <w:r>
              <w:rPr>
                <w:rFonts w:cs="Calibri"/>
                <w:color w:val="000000"/>
                <w:spacing w:val="0"/>
                <w:kern w:val="0"/>
              </w:rPr>
              <w:t xml:space="preserve">in </w:t>
            </w:r>
            <w:r w:rsidRPr="00154AFD">
              <w:rPr>
                <w:rFonts w:cs="Calibri"/>
                <w:color w:val="000000"/>
                <w:spacing w:val="0"/>
                <w:kern w:val="0"/>
              </w:rPr>
              <w:t>202</w:t>
            </w:r>
            <w:r>
              <w:rPr>
                <w:rFonts w:cs="Calibri"/>
                <w:color w:val="000000"/>
                <w:spacing w:val="0"/>
                <w:kern w:val="0"/>
              </w:rPr>
              <w:t>6</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Pr>
                <w:color w:val="000000"/>
                <w:spacing w:val="0"/>
                <w:kern w:val="0"/>
              </w:rPr>
              <w:t>119,100</w:t>
            </w:r>
          </w:p>
        </w:tc>
      </w:tr>
      <w:tr w:rsidR="000A7B79" w:rsidRPr="00154AFD" w:rsidTr="00893E42">
        <w:trPr>
          <w:trHeight w:val="330"/>
        </w:trPr>
        <w:tc>
          <w:tcPr>
            <w:tcW w:w="2977" w:type="dxa"/>
            <w:tcBorders>
              <w:top w:val="nil"/>
              <w:left w:val="single" w:sz="4" w:space="0" w:color="auto"/>
              <w:bottom w:val="single" w:sz="4" w:space="0" w:color="auto"/>
              <w:right w:val="nil"/>
            </w:tcBorders>
            <w:shd w:val="clear" w:color="000000" w:fill="EBF2FA"/>
            <w:noWrap/>
            <w:vAlign w:val="bottom"/>
            <w:hideMark/>
          </w:tcPr>
          <w:p w:rsidR="000A7B79" w:rsidRPr="00374A23" w:rsidRDefault="000A7B79" w:rsidP="00893E42">
            <w:pPr>
              <w:autoSpaceDE w:val="0"/>
              <w:autoSpaceDN w:val="0"/>
              <w:adjustRightInd w:val="0"/>
              <w:spacing w:before="40" w:after="40" w:line="240" w:lineRule="auto"/>
              <w:jc w:val="left"/>
              <w:rPr>
                <w:rStyle w:val="SubtleEmphasis"/>
              </w:rPr>
            </w:pPr>
            <w:r w:rsidRPr="00374A23">
              <w:rPr>
                <w:rStyle w:val="SubtleEmphasis"/>
              </w:rPr>
              <w:t>Operations</w:t>
            </w:r>
          </w:p>
        </w:tc>
        <w:tc>
          <w:tcPr>
            <w:tcW w:w="2551" w:type="dxa"/>
            <w:tcBorders>
              <w:top w:val="nil"/>
              <w:left w:val="nil"/>
              <w:bottom w:val="single" w:sz="4" w:space="0" w:color="auto"/>
              <w:right w:val="single" w:sz="4" w:space="0" w:color="auto"/>
            </w:tcBorders>
            <w:shd w:val="clear" w:color="000000" w:fill="EBF2FA"/>
            <w:noWrap/>
            <w:vAlign w:val="bottom"/>
            <w:hideMark/>
          </w:tcPr>
          <w:p w:rsidR="000A7B79" w:rsidRPr="00B55059" w:rsidRDefault="000A7B79" w:rsidP="00981189">
            <w:pPr>
              <w:spacing w:before="0" w:after="0" w:line="240" w:lineRule="auto"/>
              <w:jc w:val="left"/>
              <w:rPr>
                <w:rStyle w:val="SubtleEmphasis"/>
              </w:rPr>
            </w:pP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sidRPr="00154AFD">
              <w:rPr>
                <w:rFonts w:cs="Calibri"/>
                <w:color w:val="000000"/>
                <w:spacing w:val="0"/>
                <w:kern w:val="0"/>
              </w:rPr>
              <w:t>Number of employees</w:t>
            </w:r>
            <w:r>
              <w:rPr>
                <w:rFonts w:cs="Calibri"/>
                <w:color w:val="000000"/>
                <w:spacing w:val="0"/>
                <w:kern w:val="0"/>
              </w:rPr>
              <w:t xml:space="preserve"> (FTE)</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sidRPr="008146A3">
              <w:rPr>
                <w:color w:val="000000"/>
                <w:spacing w:val="0"/>
                <w:kern w:val="0"/>
              </w:rPr>
              <w:t>890</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sidRPr="00154AFD">
              <w:rPr>
                <w:rFonts w:cs="Calibri"/>
                <w:color w:val="000000"/>
                <w:spacing w:val="0"/>
                <w:kern w:val="0"/>
              </w:rPr>
              <w:t>Annual revenue</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sidRPr="008146A3">
              <w:rPr>
                <w:color w:val="000000"/>
                <w:spacing w:val="0"/>
                <w:kern w:val="0"/>
              </w:rPr>
              <w:t>$173m</w:t>
            </w:r>
          </w:p>
        </w:tc>
      </w:tr>
      <w:tr w:rsidR="000A7B79" w:rsidRPr="00154AFD" w:rsidTr="00893E42">
        <w:trPr>
          <w:trHeight w:val="330"/>
        </w:trPr>
        <w:tc>
          <w:tcPr>
            <w:tcW w:w="2977" w:type="dxa"/>
            <w:tcBorders>
              <w:top w:val="nil"/>
              <w:left w:val="single" w:sz="4" w:space="0" w:color="auto"/>
              <w:bottom w:val="single" w:sz="4" w:space="0" w:color="auto"/>
              <w:right w:val="nil"/>
            </w:tcBorders>
            <w:shd w:val="clear" w:color="000000" w:fill="EBF2FA"/>
            <w:noWrap/>
            <w:vAlign w:val="bottom"/>
            <w:hideMark/>
          </w:tcPr>
          <w:p w:rsidR="000A7B79" w:rsidRPr="00374A23" w:rsidRDefault="000A7B79" w:rsidP="00893E42">
            <w:pPr>
              <w:autoSpaceDE w:val="0"/>
              <w:autoSpaceDN w:val="0"/>
              <w:adjustRightInd w:val="0"/>
              <w:spacing w:before="40" w:after="40" w:line="240" w:lineRule="auto"/>
              <w:jc w:val="left"/>
              <w:rPr>
                <w:rStyle w:val="SubtleEmphasis"/>
              </w:rPr>
            </w:pPr>
            <w:r w:rsidRPr="00374A23">
              <w:rPr>
                <w:rStyle w:val="SubtleEmphasis"/>
              </w:rPr>
              <w:t>Infrastructure</w:t>
            </w:r>
          </w:p>
        </w:tc>
        <w:tc>
          <w:tcPr>
            <w:tcW w:w="2551" w:type="dxa"/>
            <w:tcBorders>
              <w:top w:val="nil"/>
              <w:left w:val="nil"/>
              <w:bottom w:val="single" w:sz="4" w:space="0" w:color="auto"/>
              <w:right w:val="single" w:sz="4" w:space="0" w:color="auto"/>
            </w:tcBorders>
            <w:shd w:val="clear" w:color="000000" w:fill="EBF2FA"/>
            <w:noWrap/>
            <w:vAlign w:val="bottom"/>
            <w:hideMark/>
          </w:tcPr>
          <w:p w:rsidR="000A7B79" w:rsidRPr="00B55059" w:rsidRDefault="000A7B79" w:rsidP="00981189">
            <w:pPr>
              <w:spacing w:before="0" w:after="0" w:line="240" w:lineRule="auto"/>
              <w:jc w:val="left"/>
              <w:rPr>
                <w:rStyle w:val="SubtleEmphasis"/>
              </w:rPr>
            </w:pP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sidRPr="00154AFD">
              <w:rPr>
                <w:rFonts w:cs="Calibri"/>
                <w:color w:val="000000"/>
                <w:spacing w:val="0"/>
                <w:kern w:val="0"/>
              </w:rPr>
              <w:t>Infrastructure backlog value</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sidRPr="008146A3">
              <w:rPr>
                <w:color w:val="000000"/>
                <w:spacing w:val="0"/>
                <w:kern w:val="0"/>
              </w:rPr>
              <w:t>$43.1m</w:t>
            </w:r>
          </w:p>
        </w:tc>
      </w:tr>
      <w:tr w:rsidR="006A6926" w:rsidRPr="00154AFD" w:rsidTr="00893E42">
        <w:trPr>
          <w:trHeight w:val="3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6A6926" w:rsidRPr="00154AFD" w:rsidRDefault="006A6926" w:rsidP="00B4688C">
            <w:pPr>
              <w:spacing w:before="0" w:after="0" w:line="240" w:lineRule="auto"/>
              <w:jc w:val="left"/>
              <w:rPr>
                <w:rFonts w:cs="Calibri"/>
                <w:color w:val="000000"/>
                <w:spacing w:val="0"/>
                <w:kern w:val="0"/>
              </w:rPr>
            </w:pPr>
            <w:r w:rsidRPr="00154AFD">
              <w:rPr>
                <w:rFonts w:cs="Calibri"/>
                <w:color w:val="000000"/>
                <w:spacing w:val="0"/>
                <w:kern w:val="0"/>
              </w:rPr>
              <w:t>Total infrastructure value</w:t>
            </w:r>
          </w:p>
        </w:tc>
        <w:tc>
          <w:tcPr>
            <w:tcW w:w="2551" w:type="dxa"/>
            <w:tcBorders>
              <w:top w:val="nil"/>
              <w:left w:val="nil"/>
              <w:bottom w:val="single" w:sz="4" w:space="0" w:color="auto"/>
              <w:right w:val="single" w:sz="4" w:space="0" w:color="auto"/>
            </w:tcBorders>
            <w:shd w:val="clear" w:color="auto" w:fill="auto"/>
            <w:noWrap/>
            <w:vAlign w:val="bottom"/>
            <w:hideMark/>
          </w:tcPr>
          <w:p w:rsidR="006A6926" w:rsidRPr="008146A3" w:rsidRDefault="006A6926" w:rsidP="00B4688C">
            <w:pPr>
              <w:spacing w:before="0" w:after="0" w:line="240" w:lineRule="auto"/>
              <w:jc w:val="center"/>
              <w:rPr>
                <w:color w:val="000000"/>
                <w:spacing w:val="0"/>
                <w:kern w:val="0"/>
              </w:rPr>
            </w:pPr>
            <w:r w:rsidRPr="008146A3">
              <w:rPr>
                <w:color w:val="000000"/>
                <w:spacing w:val="0"/>
                <w:kern w:val="0"/>
              </w:rPr>
              <w:t>$1</w:t>
            </w:r>
            <w:r>
              <w:rPr>
                <w:color w:val="000000"/>
                <w:spacing w:val="0"/>
                <w:kern w:val="0"/>
              </w:rPr>
              <w:t>,</w:t>
            </w:r>
            <w:r w:rsidRPr="008146A3">
              <w:rPr>
                <w:color w:val="000000"/>
                <w:spacing w:val="0"/>
                <w:kern w:val="0"/>
              </w:rPr>
              <w:t>873m</w:t>
            </w:r>
          </w:p>
        </w:tc>
      </w:tr>
    </w:tbl>
    <w:p w:rsidR="006A6926" w:rsidRPr="006A6926" w:rsidRDefault="006A6926" w:rsidP="006A6926">
      <w:pPr>
        <w:pStyle w:val="Heading3"/>
        <w:rPr>
          <w:u w:val="none"/>
        </w:rPr>
      </w:pPr>
      <w:r w:rsidRPr="006A6926">
        <w:rPr>
          <w:u w:val="none"/>
        </w:rPr>
        <w:t>The LGA is located on the south coast of New South Wales, approximately 160km from the centre of Sydney. It covers 4,660 km2 and is approximately 120km long and 80km wide, stretching from Berry and Kangaroo Valley in the north to Durras in the south.  The LGA coastline is approximately 170km, excluding all bays and inlets.  Nearly 70% of the LGA is national park, state forest or vacant land.</w:t>
      </w:r>
    </w:p>
    <w:p w:rsidR="006A6926" w:rsidRPr="006A6926" w:rsidRDefault="006A6926" w:rsidP="006A6926">
      <w:pPr>
        <w:pStyle w:val="Heading3"/>
        <w:rPr>
          <w:u w:val="none"/>
        </w:rPr>
      </w:pPr>
      <w:r w:rsidRPr="006A6926">
        <w:rPr>
          <w:u w:val="none"/>
        </w:rPr>
        <w:t>The Council looks after $2.3b of community assets with 32.7% ($738.4m) of this being roads, bridges and footpaths.  The Council also manages a combined value of $821.2m of sewerage networks, water supply network and stormwater drainage.</w:t>
      </w:r>
    </w:p>
    <w:p w:rsidR="00D806E6" w:rsidRPr="006A6926" w:rsidRDefault="006A6926" w:rsidP="006A6926">
      <w:pPr>
        <w:pStyle w:val="Heading3"/>
        <w:rPr>
          <w:u w:val="none"/>
        </w:rPr>
      </w:pPr>
      <w:r w:rsidRPr="006A6926">
        <w:rPr>
          <w:u w:val="none"/>
        </w:rPr>
        <w:t>The LGA population was estimated at 96,967 in 2010 representing a 1.3% increase from the previous year.  The Council has forecast an average population growth of 0.5% each year.  Typical of a coastal area, the LGA has a higher than average population age.  The main employment sectors are defence, tourism, manufacturing, government services, agriculture, education and health.</w:t>
      </w:r>
    </w:p>
    <w:p w:rsidR="006A6926" w:rsidRDefault="006A6926">
      <w:pPr>
        <w:spacing w:before="0" w:after="0" w:line="240" w:lineRule="auto"/>
        <w:jc w:val="left"/>
        <w:rPr>
          <w:b/>
        </w:rPr>
      </w:pPr>
      <w:bookmarkStart w:id="12" w:name="_Toc326918016"/>
      <w:r>
        <w:br w:type="page"/>
      </w:r>
    </w:p>
    <w:p w:rsidR="000A7B79" w:rsidRPr="00374A23" w:rsidRDefault="000A7B79" w:rsidP="00893E42">
      <w:pPr>
        <w:pStyle w:val="Heading2"/>
        <w:spacing w:before="220" w:after="220" w:line="280" w:lineRule="exact"/>
      </w:pPr>
      <w:r w:rsidRPr="00374A23">
        <w:lastRenderedPageBreak/>
        <w:t>2.</w:t>
      </w:r>
      <w:r w:rsidR="00505C59" w:rsidRPr="00374A23">
        <w:t>4</w:t>
      </w:r>
      <w:r w:rsidRPr="00374A23">
        <w:t>:</w:t>
      </w:r>
      <w:r w:rsidRPr="00374A23">
        <w:tab/>
        <w:t>LIRS Application</w:t>
      </w:r>
      <w:bookmarkEnd w:id="12"/>
    </w:p>
    <w:p w:rsidR="006A6926" w:rsidRPr="006A6926" w:rsidRDefault="006A6926" w:rsidP="006A6926">
      <w:pPr>
        <w:pStyle w:val="Heading3"/>
        <w:rPr>
          <w:u w:val="none"/>
        </w:rPr>
      </w:pPr>
      <w:r w:rsidRPr="006A6926">
        <w:rPr>
          <w:u w:val="none"/>
        </w:rPr>
        <w:t>Council has made the following LIRS application.</w:t>
      </w:r>
    </w:p>
    <w:p w:rsidR="006A6926" w:rsidRPr="006A6926" w:rsidRDefault="006A6926" w:rsidP="006A6926">
      <w:pPr>
        <w:pStyle w:val="Heading3"/>
        <w:rPr>
          <w:u w:val="none"/>
        </w:rPr>
      </w:pPr>
      <w:r w:rsidRPr="006A6926">
        <w:rPr>
          <w:u w:val="none"/>
        </w:rPr>
        <w:t xml:space="preserve">Description: The Accelerated Road Renewal Program is the road resealing (surfacing renewal) component of Shoalhaven's Local Road Repair Program.  The other two components are the sealed road rehabilitation program (for pavement and surfacing renewal) and the gravel road </w:t>
      </w:r>
      <w:proofErr w:type="spellStart"/>
      <w:r w:rsidRPr="006A6926">
        <w:rPr>
          <w:u w:val="none"/>
        </w:rPr>
        <w:t>resheeting</w:t>
      </w:r>
      <w:proofErr w:type="spellEnd"/>
      <w:r w:rsidRPr="006A6926">
        <w:rPr>
          <w:u w:val="none"/>
        </w:rPr>
        <w:t xml:space="preserve"> program (for pavement renewal).</w:t>
      </w:r>
    </w:p>
    <w:p w:rsidR="006A6926" w:rsidRPr="006A6926" w:rsidRDefault="006A6926" w:rsidP="006A6926">
      <w:pPr>
        <w:pStyle w:val="Heading3"/>
        <w:rPr>
          <w:u w:val="none"/>
        </w:rPr>
      </w:pPr>
      <w:r w:rsidRPr="006A6926">
        <w:rPr>
          <w:u w:val="none"/>
        </w:rPr>
        <w:t>Amount of the loan facility: $2.0m</w:t>
      </w:r>
    </w:p>
    <w:p w:rsidR="006A6926" w:rsidRPr="006A6926" w:rsidRDefault="006A6926" w:rsidP="006A6926">
      <w:pPr>
        <w:pStyle w:val="Heading3"/>
        <w:rPr>
          <w:u w:val="none"/>
        </w:rPr>
      </w:pPr>
      <w:r w:rsidRPr="006A6926">
        <w:rPr>
          <w:u w:val="none"/>
        </w:rPr>
        <w:t>Term of the loan facility: 10 years</w:t>
      </w:r>
    </w:p>
    <w:p w:rsidR="006A6926" w:rsidRPr="006A6926" w:rsidRDefault="006A6926" w:rsidP="006A6926">
      <w:pPr>
        <w:pStyle w:val="Heading3"/>
        <w:rPr>
          <w:u w:val="none"/>
        </w:rPr>
      </w:pPr>
      <w:r w:rsidRPr="006A6926">
        <w:rPr>
          <w:u w:val="none"/>
        </w:rPr>
        <w:t>The Council has applied for a 10 year loan term for its Accelerated Road Renewal Program.  The cost of the project and the intended borrowing amount is $2.0m.</w:t>
      </w:r>
    </w:p>
    <w:p w:rsidR="002E1CAF" w:rsidRPr="002E1CAF" w:rsidRDefault="002E1CAF" w:rsidP="002E1CAF"/>
    <w:p w:rsidR="000A7B79" w:rsidRPr="00374A23" w:rsidRDefault="000A7B79" w:rsidP="00374A23">
      <w:pPr>
        <w:pStyle w:val="Heading1"/>
      </w:pPr>
      <w:r>
        <w:br w:type="page"/>
      </w:r>
      <w:bookmarkStart w:id="13" w:name="_Toc326918017"/>
      <w:r w:rsidRPr="00374A23">
        <w:lastRenderedPageBreak/>
        <w:t>Section 3</w:t>
      </w:r>
      <w:r w:rsidRPr="00374A23">
        <w:tab/>
        <w:t>Review of Financial Performance and Position</w:t>
      </w:r>
      <w:bookmarkEnd w:id="13"/>
    </w:p>
    <w:p w:rsidR="00D806E6" w:rsidRPr="00893E42" w:rsidRDefault="00D806E6" w:rsidP="00893E42">
      <w:pPr>
        <w:pStyle w:val="Heading3"/>
        <w:rPr>
          <w:u w:val="none"/>
        </w:rPr>
      </w:pPr>
      <w:r w:rsidRPr="00893E42">
        <w:rPr>
          <w:u w:val="none"/>
        </w:rPr>
        <w:t xml:space="preserve">In reviewing the financial performance of the Council, </w:t>
      </w:r>
      <w:proofErr w:type="spellStart"/>
      <w:r w:rsidRPr="00893E42">
        <w:rPr>
          <w:u w:val="none"/>
        </w:rPr>
        <w:t>TCorp</w:t>
      </w:r>
      <w:proofErr w:type="spellEnd"/>
      <w:r w:rsidRPr="00893E42">
        <w:rPr>
          <w:u w:val="none"/>
        </w:rPr>
        <w:t xml:space="preserve"> has based its review on the annual audited accounts of the Council unless otherwise stated.</w:t>
      </w:r>
    </w:p>
    <w:p w:rsidR="00D70A71" w:rsidRDefault="003C7DCE">
      <w:pPr>
        <w:pStyle w:val="Heading3"/>
      </w:pPr>
      <w:bookmarkStart w:id="14" w:name="_Toc326918018"/>
      <w:r>
        <w:rPr>
          <w:noProof/>
        </w:rPr>
        <w:drawing>
          <wp:anchor distT="0" distB="0" distL="114300" distR="114300" simplePos="0" relativeHeight="251658240" behindDoc="0" locked="0" layoutInCell="1" allowOverlap="1">
            <wp:simplePos x="0" y="0"/>
            <wp:positionH relativeFrom="column">
              <wp:posOffset>-51435</wp:posOffset>
            </wp:positionH>
            <wp:positionV relativeFrom="paragraph">
              <wp:posOffset>720090</wp:posOffset>
            </wp:positionV>
            <wp:extent cx="5094605" cy="343408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94605" cy="3434080"/>
                    </a:xfrm>
                    <a:prstGeom prst="rect">
                      <a:avLst/>
                    </a:prstGeom>
                    <a:noFill/>
                    <a:ln w="9525">
                      <a:noFill/>
                      <a:miter lim="800000"/>
                      <a:headEnd/>
                      <a:tailEnd/>
                    </a:ln>
                  </pic:spPr>
                </pic:pic>
              </a:graphicData>
            </a:graphic>
          </wp:anchor>
        </w:drawing>
      </w:r>
    </w:p>
    <w:p w:rsidR="00D806E6" w:rsidRPr="00374A23" w:rsidRDefault="00D806E6" w:rsidP="00893E42">
      <w:pPr>
        <w:pStyle w:val="Heading2"/>
        <w:spacing w:before="220" w:after="220" w:line="280" w:lineRule="exact"/>
      </w:pPr>
      <w:r w:rsidRPr="00374A23">
        <w:t>3.1:</w:t>
      </w:r>
      <w:r w:rsidRPr="00374A23">
        <w:tab/>
        <w:t>Revenue</w:t>
      </w:r>
      <w:bookmarkEnd w:id="14"/>
    </w:p>
    <w:p w:rsidR="0044330F" w:rsidRDefault="0044330F" w:rsidP="002E1CAF">
      <w:pPr>
        <w:pStyle w:val="Heading3"/>
      </w:pPr>
      <w:bookmarkStart w:id="15" w:name="_Toc326916134"/>
    </w:p>
    <w:p w:rsidR="00D806E6" w:rsidRPr="009237DF" w:rsidRDefault="00D806E6" w:rsidP="002E1CAF">
      <w:pPr>
        <w:pStyle w:val="Heading3"/>
      </w:pPr>
      <w:r w:rsidRPr="009237DF">
        <w:t>Key Observations</w:t>
      </w:r>
      <w:bookmarkEnd w:id="15"/>
    </w:p>
    <w:p w:rsidR="006A6926" w:rsidRPr="006A6926" w:rsidRDefault="006A6926" w:rsidP="006A6926">
      <w:pPr>
        <w:pStyle w:val="Subtitle"/>
        <w:ind w:left="714" w:hanging="357"/>
      </w:pPr>
      <w:bookmarkStart w:id="16" w:name="_Toc326918019"/>
      <w:r w:rsidRPr="006A6926">
        <w:t xml:space="preserve">The Council’s revenue sources have been historically stable and gradually increasing overall.  The Council’s Own Sourced Income Operating Revenue Ratio was 75.6% in 2011 which is very strong compared to </w:t>
      </w:r>
      <w:r w:rsidR="000D5EA0">
        <w:t>the</w:t>
      </w:r>
      <w:r w:rsidRPr="006A6926">
        <w:t xml:space="preserve"> benchmark of 60%.  </w:t>
      </w:r>
    </w:p>
    <w:p w:rsidR="006A6926" w:rsidRPr="006A6926" w:rsidRDefault="006A6926" w:rsidP="006A6926">
      <w:pPr>
        <w:pStyle w:val="Subtitle"/>
        <w:ind w:left="714" w:hanging="357"/>
      </w:pPr>
      <w:r w:rsidRPr="006A6926">
        <w:t>The Council’s rates revenue is its main source of income with more than half its revenue derived from this source.  It has been increasing by approximately $5m (5% to 6%) each year.  This growth is partly attributed to a steady increase of $1.7m (6.4% to 6.8%) p.a. in sewerage service charges and steady increases in the rate pegged residential rates.</w:t>
      </w:r>
    </w:p>
    <w:p w:rsidR="006A6926" w:rsidRPr="006A6926" w:rsidRDefault="006A6926" w:rsidP="006A6926">
      <w:pPr>
        <w:pStyle w:val="Subtitle"/>
        <w:ind w:left="714" w:hanging="357"/>
      </w:pPr>
      <w:r w:rsidRPr="006A6926">
        <w:t>The increase in rates is supported by steady population growth of around 1% each year.  This growth is mainly through migration into the area and influenced by factors such as available zoned land and economic trends.  Land zoning is an important lever that the Council can use to control its population growth.</w:t>
      </w:r>
    </w:p>
    <w:p w:rsidR="006A6926" w:rsidRDefault="006A6926" w:rsidP="006A6926">
      <w:pPr>
        <w:pStyle w:val="Subtitle"/>
        <w:ind w:left="714" w:hanging="357"/>
      </w:pPr>
      <w:r w:rsidRPr="006A6926">
        <w:t>Income from tourist parks is the highest category of general user charges generating a stable net surplus of around $3m per annum from its 12 parks.  In the past three years, tourist park income has not been affected by volatility in the tourism industry.</w:t>
      </w:r>
    </w:p>
    <w:p w:rsidR="006A6926" w:rsidRDefault="006A6926" w:rsidP="006A6926">
      <w:pPr>
        <w:pStyle w:val="Subtitle"/>
        <w:ind w:left="714" w:hanging="357"/>
      </w:pPr>
      <w:r w:rsidRPr="006A6926">
        <w:lastRenderedPageBreak/>
        <w:t>The Council also generates over $5m each year from managing swimming / leisure centres, cemeteries and various other services.  These operations have been incurring operating deficits and this trend is expected to continue.</w:t>
      </w:r>
    </w:p>
    <w:p w:rsidR="006A6926" w:rsidRDefault="006A6926" w:rsidP="006A6926">
      <w:pPr>
        <w:pStyle w:val="Subtitle"/>
        <w:ind w:left="714" w:hanging="357"/>
      </w:pPr>
      <w:r w:rsidRPr="006A6926">
        <w:t xml:space="preserve">Interest income for the last two years has been maintained at a steady level around $7.5m per annum.  A $5.9m fair value downward movement in investment income was recorded in 2009 as a result of the Global Financial Crisis negatively impacting the Council’s managed funds and CDO investments.  Significant </w:t>
      </w:r>
      <w:proofErr w:type="spellStart"/>
      <w:r w:rsidRPr="006A6926">
        <w:t>writedowns</w:t>
      </w:r>
      <w:proofErr w:type="spellEnd"/>
      <w:r w:rsidRPr="006A6926">
        <w:t xml:space="preserve"> did not continue in the subsequent years within the review period. </w:t>
      </w:r>
      <w:r w:rsidR="00182227">
        <w:t>The Council valued its CDO holdings at $2.3m in 2011</w:t>
      </w:r>
      <w:r w:rsidR="000D5EA0">
        <w:t>.</w:t>
      </w:r>
    </w:p>
    <w:p w:rsidR="006A6926" w:rsidRDefault="006A6926" w:rsidP="006A6926">
      <w:pPr>
        <w:pStyle w:val="Subtitle"/>
        <w:ind w:left="714" w:hanging="357"/>
      </w:pPr>
      <w:r w:rsidRPr="006A6926">
        <w:t xml:space="preserve">Overall, the Council’s receipt of </w:t>
      </w:r>
      <w:r w:rsidR="00AE49CC" w:rsidRPr="00AE49CC">
        <w:rPr>
          <w:color w:val="000000" w:themeColor="text1"/>
        </w:rPr>
        <w:t>operating</w:t>
      </w:r>
      <w:r w:rsidRPr="006A6926">
        <w:t xml:space="preserve"> grants and contributions has increased over the last three years and there has been a noted increase in financial assistance grants and community care related operating grants.</w:t>
      </w:r>
    </w:p>
    <w:p w:rsidR="00893E42" w:rsidRDefault="006A6926" w:rsidP="006A6926">
      <w:pPr>
        <w:pStyle w:val="Subtitle"/>
        <w:ind w:left="714" w:hanging="357"/>
      </w:pPr>
      <w:r w:rsidRPr="006A6926">
        <w:t>Developer contributions have increased greatly from $3.3m in 2008 to $7.1m in 2011.  This reflects the significant increase in the amount of residential development and commercial development which complement the new residential areas.</w:t>
      </w:r>
    </w:p>
    <w:p w:rsidR="00D70A71" w:rsidRDefault="00D70A71">
      <w:pPr>
        <w:pStyle w:val="Heading3"/>
      </w:pPr>
      <w:r>
        <w:rPr>
          <w:noProof/>
        </w:rPr>
        <w:drawing>
          <wp:anchor distT="0" distB="0" distL="114300" distR="114300" simplePos="0" relativeHeight="251659264" behindDoc="0" locked="0" layoutInCell="1" allowOverlap="1">
            <wp:simplePos x="0" y="0"/>
            <wp:positionH relativeFrom="column">
              <wp:posOffset>-60325</wp:posOffset>
            </wp:positionH>
            <wp:positionV relativeFrom="paragraph">
              <wp:posOffset>693420</wp:posOffset>
            </wp:positionV>
            <wp:extent cx="5099685" cy="3434080"/>
            <wp:effectExtent l="19050" t="0" r="571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99685" cy="3434080"/>
                    </a:xfrm>
                    <a:prstGeom prst="rect">
                      <a:avLst/>
                    </a:prstGeom>
                    <a:noFill/>
                    <a:ln w="9525">
                      <a:noFill/>
                      <a:miter lim="800000"/>
                      <a:headEnd/>
                      <a:tailEnd/>
                    </a:ln>
                  </pic:spPr>
                </pic:pic>
              </a:graphicData>
            </a:graphic>
          </wp:anchor>
        </w:drawing>
      </w:r>
    </w:p>
    <w:p w:rsidR="003D5DCE" w:rsidRDefault="003D5DCE" w:rsidP="00893E42">
      <w:pPr>
        <w:pStyle w:val="Heading2"/>
        <w:spacing w:before="220" w:after="220" w:line="280" w:lineRule="exact"/>
      </w:pPr>
      <w:r w:rsidRPr="003D5DCE">
        <w:t>3.2:</w:t>
      </w:r>
      <w:r w:rsidRPr="003D5DCE">
        <w:tab/>
        <w:t>Expenses</w:t>
      </w:r>
      <w:bookmarkEnd w:id="16"/>
    </w:p>
    <w:p w:rsidR="0044330F" w:rsidRDefault="0044330F" w:rsidP="00821C83">
      <w:pPr>
        <w:pStyle w:val="Heading3"/>
      </w:pPr>
      <w:bookmarkStart w:id="17" w:name="_Toc326916136"/>
    </w:p>
    <w:p w:rsidR="003D5DCE" w:rsidRPr="00821C83" w:rsidRDefault="003D5DCE" w:rsidP="00821C83">
      <w:pPr>
        <w:pStyle w:val="Heading3"/>
      </w:pPr>
      <w:r w:rsidRPr="00821C83">
        <w:t>Key Observations</w:t>
      </w:r>
      <w:bookmarkEnd w:id="17"/>
    </w:p>
    <w:p w:rsidR="00404468" w:rsidRDefault="00B4688C" w:rsidP="00B4688C">
      <w:pPr>
        <w:pStyle w:val="Subtitle"/>
        <w:ind w:left="714" w:hanging="357"/>
      </w:pPr>
      <w:r>
        <w:t xml:space="preserve">The Council had set a target of achieving a 10% to 20% productivity gain/cost saving over a five year period starting from 2006.  This was a Council initiative to enable it to allocate more funding to maintenance, renewal, upgrade and new infrastructure for the community.  </w:t>
      </w:r>
      <w:r w:rsidR="00404468">
        <w:t xml:space="preserve">Initiatives include savings in employee costs, purchasing better equipment to reduce </w:t>
      </w:r>
      <w:r w:rsidR="00404468">
        <w:lastRenderedPageBreak/>
        <w:t>operating costs, improved prices from tendered contracts and improved negotiations for lease revenue.</w:t>
      </w:r>
    </w:p>
    <w:p w:rsidR="00B4688C" w:rsidRPr="00404468" w:rsidRDefault="00B4688C" w:rsidP="00B4688C">
      <w:pPr>
        <w:pStyle w:val="Subtitle"/>
        <w:ind w:left="714" w:hanging="357"/>
        <w:rPr>
          <w:color w:val="000000" w:themeColor="text1"/>
        </w:rPr>
      </w:pPr>
      <w:r>
        <w:t xml:space="preserve">Employee costs have been increasing at around 5% year on year with the number of Full Time Equivalent employees fluctuating around the 760 mark in the last three years.  The increased cost is largely attributed to the $3m per annum increase in salary and wages cost, </w:t>
      </w:r>
      <w:r w:rsidRPr="00404468">
        <w:rPr>
          <w:color w:val="000000" w:themeColor="text1"/>
        </w:rPr>
        <w:t>excluding superannuation.  This increase in employee costs appears higher than many other NSW councils and increases of such levels are not sustainable over the medium to long term.  Increases in a range of 3% to 4% would be more sustainable.</w:t>
      </w:r>
    </w:p>
    <w:p w:rsidR="00B4688C" w:rsidRDefault="00B4688C" w:rsidP="00404468">
      <w:pPr>
        <w:pStyle w:val="Subtitle"/>
        <w:ind w:left="714" w:hanging="357"/>
      </w:pPr>
      <w:r w:rsidRPr="00404468">
        <w:t xml:space="preserve">The </w:t>
      </w:r>
      <w:r w:rsidR="006D4E8C">
        <w:t>increase in materials and contract expenses in 2010 is mainly attributed to a community centre constructed by Council but it is not owned by Council.  The Council received grants to fund the centre construction.</w:t>
      </w:r>
    </w:p>
    <w:p w:rsidR="006D4E8C" w:rsidRPr="006D4E8C" w:rsidRDefault="006D4E8C" w:rsidP="006D4E8C">
      <w:pPr>
        <w:pStyle w:val="Subtitle"/>
        <w:ind w:left="714" w:hanging="357"/>
      </w:pPr>
      <w:r>
        <w:t>The increase in consultancy and contractor cost is partly due to a freeze on employee numbers which led to an increase in contractors.</w:t>
      </w:r>
    </w:p>
    <w:p w:rsidR="00B4688C" w:rsidRDefault="00B4688C" w:rsidP="00B4688C">
      <w:pPr>
        <w:pStyle w:val="Subtitle"/>
        <w:ind w:left="714" w:hanging="357"/>
      </w:pPr>
      <w:r>
        <w:t>Depreciation has increased significantly over the period because it has been impacted mainly by the Asset Revaluation process and partly due to the increase in new assets of around $50m each year.</w:t>
      </w:r>
    </w:p>
    <w:p w:rsidR="003D5DCE" w:rsidRPr="00B4688C" w:rsidRDefault="00B4688C" w:rsidP="00B4688C">
      <w:pPr>
        <w:pStyle w:val="Subtitle"/>
        <w:ind w:left="714" w:hanging="357"/>
      </w:pPr>
      <w:r>
        <w:t>The Council expensed around $5m of borrowing costs each year and this has been slightly decreasing as loan repayments are made on amortising loans.  The Council has just under $60m in non-current secured loans at 30 June 2011.  The Council has publicly expressed their policy to not borrow for operating purposes which is considered a prudent policy.</w:t>
      </w:r>
    </w:p>
    <w:p w:rsidR="00D70A71" w:rsidRDefault="00D70A71">
      <w:pPr>
        <w:pStyle w:val="Heading3"/>
      </w:pPr>
      <w:bookmarkStart w:id="18" w:name="_Toc326918020"/>
    </w:p>
    <w:p w:rsidR="00947694" w:rsidRDefault="00947694">
      <w:pPr>
        <w:spacing w:before="0" w:after="0" w:line="240" w:lineRule="auto"/>
        <w:jc w:val="left"/>
        <w:rPr>
          <w:b/>
        </w:rPr>
      </w:pPr>
      <w:r>
        <w:br w:type="page"/>
      </w:r>
    </w:p>
    <w:p w:rsidR="003D5DCE" w:rsidRPr="00B12DD3" w:rsidRDefault="003D5DCE" w:rsidP="00893E42">
      <w:pPr>
        <w:pStyle w:val="Heading2"/>
        <w:spacing w:before="220" w:after="220" w:line="280" w:lineRule="exact"/>
      </w:pPr>
      <w:r w:rsidRPr="00B12DD3">
        <w:lastRenderedPageBreak/>
        <w:t>3.3:</w:t>
      </w:r>
      <w:r w:rsidRPr="00B12DD3">
        <w:tab/>
        <w:t>Operating Results</w:t>
      </w:r>
      <w:bookmarkEnd w:id="18"/>
      <w:r w:rsidRPr="00B12DD3">
        <w:tab/>
      </w:r>
    </w:p>
    <w:p w:rsidR="005B0FCE" w:rsidRPr="005B0FCE" w:rsidRDefault="005B0FCE" w:rsidP="005B0FCE">
      <w:pPr>
        <w:pStyle w:val="Heading3"/>
        <w:rPr>
          <w:u w:val="none"/>
        </w:rPr>
      </w:pPr>
      <w:proofErr w:type="spellStart"/>
      <w:r w:rsidRPr="005B0FCE">
        <w:rPr>
          <w:u w:val="none"/>
        </w:rPr>
        <w:t>TCorp</w:t>
      </w:r>
      <w:proofErr w:type="spellEnd"/>
      <w:r w:rsidRPr="005B0FCE">
        <w:rPr>
          <w:u w:val="none"/>
        </w:rPr>
        <w:t xml:space="preserve"> has made some standard adjustments to focus the analysis on core operating council results.  These adjustments relate to grants and contributions for capital purposes, realised and unrealised gains on investments and other assets are excluded, as well as one-off items which Council have no control over (e.g. impairments).  </w:t>
      </w:r>
    </w:p>
    <w:p w:rsidR="005B0FCE" w:rsidRPr="005B0FCE" w:rsidRDefault="005B0FCE" w:rsidP="005B0FCE">
      <w:pPr>
        <w:pStyle w:val="Heading3"/>
        <w:rPr>
          <w:u w:val="none"/>
        </w:rPr>
      </w:pPr>
      <w:proofErr w:type="spellStart"/>
      <w:r w:rsidRPr="005B0FCE">
        <w:rPr>
          <w:u w:val="none"/>
        </w:rPr>
        <w:t>TCorp</w:t>
      </w:r>
      <w:proofErr w:type="spellEnd"/>
      <w:r w:rsidRPr="005B0FCE">
        <w:rPr>
          <w:u w:val="none"/>
        </w:rPr>
        <w:t xml:space="preserve"> believes that the exclusion of these items will assist in normalising the measurement of key performance indicators, and the measurement of Council’s performance against its peers.</w:t>
      </w:r>
    </w:p>
    <w:p w:rsidR="00D70A71" w:rsidRDefault="005B0FCE">
      <w:r w:rsidRPr="005B0FCE">
        <w:t>All items excluded from the income statement and further historical financial information is detailed in Appendix A.</w:t>
      </w:r>
    </w:p>
    <w:p w:rsidR="006B02A4" w:rsidRDefault="006B02A4">
      <w:r>
        <w:rPr>
          <w:noProof/>
        </w:rPr>
        <w:drawing>
          <wp:anchor distT="0" distB="0" distL="114300" distR="114300" simplePos="0" relativeHeight="251696128" behindDoc="0" locked="0" layoutInCell="1" allowOverlap="1">
            <wp:simplePos x="0" y="0"/>
            <wp:positionH relativeFrom="column">
              <wp:posOffset>20955</wp:posOffset>
            </wp:positionH>
            <wp:positionV relativeFrom="paragraph">
              <wp:posOffset>154940</wp:posOffset>
            </wp:positionV>
            <wp:extent cx="5099050" cy="272542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99050" cy="2725420"/>
                    </a:xfrm>
                    <a:prstGeom prst="rect">
                      <a:avLst/>
                    </a:prstGeom>
                    <a:noFill/>
                    <a:ln w="9525">
                      <a:noFill/>
                      <a:miter lim="800000"/>
                      <a:headEnd/>
                      <a:tailEnd/>
                    </a:ln>
                  </pic:spPr>
                </pic:pic>
              </a:graphicData>
            </a:graphic>
          </wp:anchor>
        </w:drawing>
      </w:r>
    </w:p>
    <w:p w:rsidR="00E30C65" w:rsidRPr="00EE6A1C" w:rsidRDefault="00E30C65" w:rsidP="00374A23">
      <w:pPr>
        <w:pStyle w:val="Heading3"/>
      </w:pPr>
      <w:bookmarkStart w:id="19" w:name="_Toc326916138"/>
      <w:r>
        <w:t>Key Observations</w:t>
      </w:r>
      <w:bookmarkEnd w:id="19"/>
    </w:p>
    <w:p w:rsidR="005B0FCE" w:rsidRDefault="005B0FCE" w:rsidP="005B0FCE">
      <w:pPr>
        <w:pStyle w:val="Subtitle"/>
        <w:ind w:left="714" w:hanging="357"/>
      </w:pPr>
      <w:r>
        <w:t>T</w:t>
      </w:r>
      <w:r w:rsidRPr="006A13F8">
        <w:t xml:space="preserve">he Council has </w:t>
      </w:r>
      <w:r>
        <w:t>posted</w:t>
      </w:r>
      <w:r w:rsidRPr="006A13F8">
        <w:t xml:space="preserve"> </w:t>
      </w:r>
      <w:r w:rsidR="000D5EA0">
        <w:t xml:space="preserve">declining operating </w:t>
      </w:r>
      <w:r w:rsidRPr="006A13F8">
        <w:t>results when grants and contributions for capital purposes are excluded.  This is largely due to the high depreciation expense</w:t>
      </w:r>
      <w:r>
        <w:t xml:space="preserve"> which has been negatively impacted by the Asset Revaluations in the last two years</w:t>
      </w:r>
      <w:r w:rsidRPr="006A13F8">
        <w:t>.</w:t>
      </w:r>
      <w:r>
        <w:t xml:space="preserve">  Whilst the </w:t>
      </w:r>
      <w:proofErr w:type="gramStart"/>
      <w:r>
        <w:t>non</w:t>
      </w:r>
      <w:proofErr w:type="gramEnd"/>
      <w:r>
        <w:t xml:space="preserve"> cash nature of depreciation can favourably impact on ratios such as EBITDA that focus on cash, depreciation is an important expense as it represents the allocation of the value of an asset over its useful life.</w:t>
      </w:r>
    </w:p>
    <w:p w:rsidR="005B0FCE" w:rsidRPr="000F1A12" w:rsidRDefault="005B0FCE" w:rsidP="005B0FCE">
      <w:pPr>
        <w:pStyle w:val="Subtitle"/>
        <w:ind w:left="714" w:hanging="357"/>
      </w:pPr>
      <w:r w:rsidRPr="000F1A12">
        <w:t>Expenses</w:t>
      </w:r>
      <w:r>
        <w:t xml:space="preserve"> have also increased at a faster rate than revenue which contributes to deteriorating deficit results.</w:t>
      </w:r>
    </w:p>
    <w:p w:rsidR="000A7B79" w:rsidRPr="005B0FCE" w:rsidRDefault="005B0FCE" w:rsidP="005B0FCE">
      <w:pPr>
        <w:pStyle w:val="Subtitle"/>
        <w:ind w:left="714" w:hanging="357"/>
      </w:pPr>
      <w:r>
        <w:t>This trend of declining operating results is not financially sustainable in the long term.</w:t>
      </w:r>
    </w:p>
    <w:p w:rsidR="00D70A71" w:rsidRDefault="00D70A71">
      <w:pPr>
        <w:pStyle w:val="Heading3"/>
      </w:pPr>
      <w:bookmarkStart w:id="20" w:name="_Toc326918021"/>
    </w:p>
    <w:p w:rsidR="00947694" w:rsidRDefault="00947694">
      <w:pPr>
        <w:spacing w:before="0" w:after="0" w:line="240" w:lineRule="auto"/>
        <w:jc w:val="left"/>
        <w:rPr>
          <w:b/>
        </w:rPr>
      </w:pPr>
      <w:r>
        <w:br w:type="page"/>
      </w:r>
    </w:p>
    <w:p w:rsidR="003D5DCE" w:rsidRPr="00821C83" w:rsidRDefault="003D5DCE" w:rsidP="00893E42">
      <w:pPr>
        <w:pStyle w:val="Heading2"/>
        <w:spacing w:before="220" w:after="220" w:line="280" w:lineRule="exact"/>
      </w:pPr>
      <w:r w:rsidRPr="00821C83">
        <w:lastRenderedPageBreak/>
        <w:t>3.4:</w:t>
      </w:r>
      <w:r w:rsidRPr="00821C83">
        <w:tab/>
        <w:t>Financial Management Indicators</w:t>
      </w:r>
      <w:bookmarkEnd w:id="20"/>
    </w:p>
    <w:tbl>
      <w:tblPr>
        <w:tblW w:w="6675" w:type="dxa"/>
        <w:jc w:val="center"/>
        <w:tblLayout w:type="fixed"/>
        <w:tblLook w:val="04A0" w:firstRow="1" w:lastRow="0" w:firstColumn="1" w:lastColumn="0" w:noHBand="0" w:noVBand="1"/>
      </w:tblPr>
      <w:tblGrid>
        <w:gridCol w:w="3300"/>
        <w:gridCol w:w="1125"/>
        <w:gridCol w:w="1125"/>
        <w:gridCol w:w="1125"/>
      </w:tblGrid>
      <w:tr w:rsidR="003D5DCE" w:rsidRPr="00584545" w:rsidTr="00CB5D6D">
        <w:trPr>
          <w:trHeight w:val="330"/>
          <w:jc w:val="center"/>
        </w:trPr>
        <w:tc>
          <w:tcPr>
            <w:tcW w:w="3300" w:type="dxa"/>
            <w:tcBorders>
              <w:top w:val="single" w:sz="4" w:space="0" w:color="auto"/>
              <w:left w:val="single" w:sz="4" w:space="0" w:color="auto"/>
              <w:bottom w:val="nil"/>
              <w:right w:val="nil"/>
            </w:tcBorders>
            <w:shd w:val="clear" w:color="000000" w:fill="BACFF8"/>
            <w:vAlign w:val="bottom"/>
            <w:hideMark/>
          </w:tcPr>
          <w:p w:rsidR="003D5DCE" w:rsidRPr="002E1CAF" w:rsidRDefault="003D5DCE" w:rsidP="002E1CAF">
            <w:pPr>
              <w:autoSpaceDE w:val="0"/>
              <w:autoSpaceDN w:val="0"/>
              <w:adjustRightInd w:val="0"/>
              <w:spacing w:before="40" w:after="40" w:line="240" w:lineRule="auto"/>
              <w:jc w:val="left"/>
              <w:rPr>
                <w:rStyle w:val="SubtleEmphasis"/>
                <w:b/>
                <w:bCs/>
              </w:rPr>
            </w:pPr>
            <w:bookmarkStart w:id="21" w:name="_Toc326916140"/>
            <w:r w:rsidRPr="002E1CAF">
              <w:rPr>
                <w:rStyle w:val="SubtleEmphasis"/>
                <w:b/>
                <w:bCs/>
              </w:rPr>
              <w:t>Performance Indicators</w:t>
            </w:r>
            <w:bookmarkEnd w:id="21"/>
          </w:p>
        </w:tc>
        <w:tc>
          <w:tcPr>
            <w:tcW w:w="3375" w:type="dxa"/>
            <w:gridSpan w:val="3"/>
            <w:tcBorders>
              <w:top w:val="single" w:sz="4" w:space="0" w:color="auto"/>
              <w:left w:val="nil"/>
              <w:bottom w:val="nil"/>
              <w:right w:val="single" w:sz="4" w:space="0" w:color="000000"/>
            </w:tcBorders>
            <w:shd w:val="clear" w:color="000000" w:fill="BACFF8"/>
            <w:noWrap/>
            <w:vAlign w:val="bottom"/>
            <w:hideMark/>
          </w:tcPr>
          <w:p w:rsidR="003D5DCE" w:rsidRPr="002E1CAF" w:rsidRDefault="003D5DCE" w:rsidP="002E1CAF">
            <w:pPr>
              <w:autoSpaceDE w:val="0"/>
              <w:autoSpaceDN w:val="0"/>
              <w:adjustRightInd w:val="0"/>
              <w:spacing w:before="40" w:after="40" w:line="240" w:lineRule="auto"/>
              <w:jc w:val="center"/>
              <w:rPr>
                <w:rStyle w:val="SubtleEmphasis"/>
                <w:b/>
                <w:bCs/>
              </w:rPr>
            </w:pPr>
            <w:bookmarkStart w:id="22" w:name="_Toc326916141"/>
            <w:r w:rsidRPr="002E1CAF">
              <w:rPr>
                <w:rStyle w:val="SubtleEmphasis"/>
                <w:b/>
                <w:bCs/>
              </w:rPr>
              <w:t>Year ended 30 June</w:t>
            </w:r>
            <w:bookmarkEnd w:id="22"/>
          </w:p>
        </w:tc>
      </w:tr>
      <w:tr w:rsidR="003D5DCE" w:rsidRPr="00584545" w:rsidTr="00CB5D6D">
        <w:trPr>
          <w:trHeight w:val="269"/>
          <w:jc w:val="center"/>
        </w:trPr>
        <w:tc>
          <w:tcPr>
            <w:tcW w:w="3300" w:type="dxa"/>
            <w:tcBorders>
              <w:top w:val="single" w:sz="4" w:space="0" w:color="auto"/>
              <w:left w:val="single" w:sz="4" w:space="0" w:color="auto"/>
              <w:bottom w:val="single" w:sz="4" w:space="0" w:color="auto"/>
              <w:right w:val="nil"/>
            </w:tcBorders>
            <w:shd w:val="clear" w:color="000000" w:fill="FFFFFF"/>
            <w:noWrap/>
            <w:vAlign w:val="bottom"/>
            <w:hideMark/>
          </w:tcPr>
          <w:p w:rsidR="003D5DCE" w:rsidRPr="00584545" w:rsidRDefault="003D5DCE" w:rsidP="002E1CAF">
            <w:pPr>
              <w:autoSpaceDE w:val="0"/>
              <w:autoSpaceDN w:val="0"/>
              <w:adjustRightInd w:val="0"/>
              <w:spacing w:before="40" w:after="40" w:line="240" w:lineRule="auto"/>
              <w:jc w:val="left"/>
              <w:rPr>
                <w:rFonts w:cs="Calibri"/>
                <w:b/>
                <w:bCs/>
                <w:color w:val="000000"/>
                <w:spacing w:val="0"/>
                <w:kern w:val="0"/>
              </w:rPr>
            </w:pPr>
            <w:r w:rsidRPr="00584545">
              <w:rPr>
                <w:rFonts w:cs="Calibri"/>
                <w:b/>
                <w:bCs/>
                <w:color w:val="000000"/>
                <w:spacing w:val="0"/>
                <w:kern w:val="0"/>
              </w:rPr>
              <w:t> </w:t>
            </w:r>
          </w:p>
        </w:tc>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5DCE" w:rsidRPr="002E1CAF" w:rsidRDefault="003D5DCE" w:rsidP="002E1CAF">
            <w:pPr>
              <w:autoSpaceDE w:val="0"/>
              <w:autoSpaceDN w:val="0"/>
              <w:adjustRightInd w:val="0"/>
              <w:spacing w:before="40" w:after="40" w:line="240" w:lineRule="auto"/>
              <w:jc w:val="center"/>
              <w:rPr>
                <w:rStyle w:val="SubtleEmphasis"/>
                <w:b/>
                <w:bCs/>
              </w:rPr>
            </w:pPr>
            <w:bookmarkStart w:id="23" w:name="_Toc326916142"/>
            <w:r w:rsidRPr="002E1CAF">
              <w:rPr>
                <w:rStyle w:val="SubtleEmphasis"/>
                <w:b/>
                <w:bCs/>
              </w:rPr>
              <w:t>2011</w:t>
            </w:r>
            <w:bookmarkEnd w:id="23"/>
          </w:p>
        </w:tc>
        <w:tc>
          <w:tcPr>
            <w:tcW w:w="1125" w:type="dxa"/>
            <w:tcBorders>
              <w:top w:val="single" w:sz="4" w:space="0" w:color="auto"/>
              <w:left w:val="nil"/>
              <w:bottom w:val="single" w:sz="4" w:space="0" w:color="auto"/>
              <w:right w:val="single" w:sz="4" w:space="0" w:color="auto"/>
            </w:tcBorders>
            <w:shd w:val="clear" w:color="000000" w:fill="FFFFFF"/>
            <w:noWrap/>
            <w:vAlign w:val="bottom"/>
            <w:hideMark/>
          </w:tcPr>
          <w:p w:rsidR="003D5DCE" w:rsidRPr="002E1CAF" w:rsidRDefault="003D5DCE" w:rsidP="002E1CAF">
            <w:pPr>
              <w:autoSpaceDE w:val="0"/>
              <w:autoSpaceDN w:val="0"/>
              <w:adjustRightInd w:val="0"/>
              <w:spacing w:before="40" w:after="40" w:line="240" w:lineRule="auto"/>
              <w:jc w:val="center"/>
              <w:rPr>
                <w:rStyle w:val="SubtleEmphasis"/>
                <w:b/>
                <w:bCs/>
              </w:rPr>
            </w:pPr>
            <w:bookmarkStart w:id="24" w:name="_Toc326916143"/>
            <w:r w:rsidRPr="002E1CAF">
              <w:rPr>
                <w:rStyle w:val="SubtleEmphasis"/>
                <w:b/>
                <w:bCs/>
              </w:rPr>
              <w:t>2010</w:t>
            </w:r>
            <w:bookmarkEnd w:id="24"/>
          </w:p>
        </w:tc>
        <w:tc>
          <w:tcPr>
            <w:tcW w:w="1125" w:type="dxa"/>
            <w:tcBorders>
              <w:top w:val="single" w:sz="4" w:space="0" w:color="auto"/>
              <w:left w:val="nil"/>
              <w:bottom w:val="single" w:sz="4" w:space="0" w:color="auto"/>
              <w:right w:val="single" w:sz="4" w:space="0" w:color="auto"/>
            </w:tcBorders>
            <w:shd w:val="clear" w:color="000000" w:fill="FFFFFF"/>
            <w:noWrap/>
            <w:vAlign w:val="bottom"/>
            <w:hideMark/>
          </w:tcPr>
          <w:p w:rsidR="003D5DCE" w:rsidRPr="002E1CAF" w:rsidRDefault="003D5DCE" w:rsidP="002E1CAF">
            <w:pPr>
              <w:autoSpaceDE w:val="0"/>
              <w:autoSpaceDN w:val="0"/>
              <w:adjustRightInd w:val="0"/>
              <w:spacing w:before="40" w:after="40" w:line="240" w:lineRule="auto"/>
              <w:jc w:val="center"/>
              <w:rPr>
                <w:rStyle w:val="SubtleEmphasis"/>
                <w:b/>
                <w:bCs/>
              </w:rPr>
            </w:pPr>
            <w:bookmarkStart w:id="25" w:name="_Toc326916144"/>
            <w:r w:rsidRPr="002E1CAF">
              <w:rPr>
                <w:rStyle w:val="SubtleEmphasis"/>
                <w:b/>
                <w:bCs/>
              </w:rPr>
              <w:t>2009</w:t>
            </w:r>
            <w:bookmarkEnd w:id="25"/>
          </w:p>
        </w:tc>
      </w:tr>
      <w:tr w:rsidR="005B0FCE" w:rsidRPr="00584545" w:rsidTr="00CB5D6D">
        <w:trPr>
          <w:trHeight w:val="330"/>
          <w:jc w:val="center"/>
        </w:trPr>
        <w:tc>
          <w:tcPr>
            <w:tcW w:w="3300" w:type="dxa"/>
            <w:tcBorders>
              <w:top w:val="nil"/>
              <w:left w:val="single" w:sz="4" w:space="0" w:color="auto"/>
              <w:bottom w:val="nil"/>
              <w:right w:val="nil"/>
            </w:tcBorders>
            <w:shd w:val="clear" w:color="auto" w:fill="auto"/>
            <w:noWrap/>
            <w:hideMark/>
          </w:tcPr>
          <w:p w:rsidR="005B0FCE" w:rsidRPr="00374A23" w:rsidRDefault="005B0FCE" w:rsidP="00E30C65">
            <w:pPr>
              <w:autoSpaceDE w:val="0"/>
              <w:autoSpaceDN w:val="0"/>
              <w:adjustRightInd w:val="0"/>
              <w:spacing w:before="40" w:after="40" w:line="240" w:lineRule="auto"/>
              <w:jc w:val="left"/>
              <w:rPr>
                <w:rStyle w:val="SubtleEmphasis"/>
              </w:rPr>
            </w:pPr>
            <w:r w:rsidRPr="00374A23">
              <w:rPr>
                <w:rStyle w:val="SubtleEmphasis"/>
              </w:rPr>
              <w:t>EBITDA ($’000’s)</w:t>
            </w:r>
          </w:p>
        </w:tc>
        <w:tc>
          <w:tcPr>
            <w:tcW w:w="1125" w:type="dxa"/>
            <w:tcBorders>
              <w:top w:val="nil"/>
              <w:left w:val="single" w:sz="4" w:space="0" w:color="auto"/>
              <w:bottom w:val="nil"/>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45,115</w:t>
            </w:r>
          </w:p>
        </w:tc>
        <w:tc>
          <w:tcPr>
            <w:tcW w:w="1125" w:type="dxa"/>
            <w:tcBorders>
              <w:top w:val="nil"/>
              <w:left w:val="nil"/>
              <w:bottom w:val="nil"/>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38,413</w:t>
            </w:r>
          </w:p>
        </w:tc>
        <w:tc>
          <w:tcPr>
            <w:tcW w:w="1125" w:type="dxa"/>
            <w:tcBorders>
              <w:top w:val="nil"/>
              <w:left w:val="nil"/>
              <w:bottom w:val="nil"/>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40,288</w:t>
            </w:r>
          </w:p>
        </w:tc>
      </w:tr>
      <w:tr w:rsidR="005B0FCE" w:rsidRPr="00584545" w:rsidTr="00CB5D6D">
        <w:trPr>
          <w:trHeight w:val="33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hideMark/>
          </w:tcPr>
          <w:p w:rsidR="005B0FCE" w:rsidRPr="00374A23" w:rsidRDefault="005B0FCE" w:rsidP="00E30C65">
            <w:pPr>
              <w:autoSpaceDE w:val="0"/>
              <w:autoSpaceDN w:val="0"/>
              <w:adjustRightInd w:val="0"/>
              <w:spacing w:before="40" w:after="40" w:line="240" w:lineRule="auto"/>
              <w:jc w:val="left"/>
              <w:rPr>
                <w:rStyle w:val="SubtleEmphasis"/>
              </w:rPr>
            </w:pPr>
            <w:r w:rsidRPr="00374A23">
              <w:rPr>
                <w:rStyle w:val="SubtleEmphasis"/>
              </w:rPr>
              <w:t>Operating Ratio</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(4.0%)</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0.5%</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2.2%</w:t>
            </w:r>
          </w:p>
        </w:tc>
      </w:tr>
      <w:tr w:rsidR="005B0FCE" w:rsidRPr="00584545" w:rsidTr="00CB5D6D">
        <w:trPr>
          <w:trHeight w:val="330"/>
          <w:jc w:val="center"/>
        </w:trPr>
        <w:tc>
          <w:tcPr>
            <w:tcW w:w="3300" w:type="dxa"/>
            <w:tcBorders>
              <w:top w:val="nil"/>
              <w:left w:val="single" w:sz="4" w:space="0" w:color="auto"/>
              <w:bottom w:val="nil"/>
              <w:right w:val="nil"/>
            </w:tcBorders>
            <w:shd w:val="clear" w:color="auto" w:fill="auto"/>
            <w:noWrap/>
            <w:hideMark/>
          </w:tcPr>
          <w:p w:rsidR="005B0FCE" w:rsidRPr="00374A23" w:rsidRDefault="005B0FCE" w:rsidP="00E30C65">
            <w:pPr>
              <w:autoSpaceDE w:val="0"/>
              <w:autoSpaceDN w:val="0"/>
              <w:adjustRightInd w:val="0"/>
              <w:spacing w:before="40" w:after="40" w:line="240" w:lineRule="auto"/>
              <w:jc w:val="left"/>
              <w:rPr>
                <w:rStyle w:val="SubtleEmphasis"/>
              </w:rPr>
            </w:pPr>
            <w:r w:rsidRPr="00374A23">
              <w:rPr>
                <w:rStyle w:val="SubtleEmphasis"/>
              </w:rPr>
              <w:t>Interest Cover Ratio</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9.10x</w:t>
            </w:r>
          </w:p>
        </w:tc>
        <w:tc>
          <w:tcPr>
            <w:tcW w:w="1125" w:type="dxa"/>
            <w:tcBorders>
              <w:top w:val="nil"/>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7.33x</w:t>
            </w:r>
          </w:p>
        </w:tc>
        <w:tc>
          <w:tcPr>
            <w:tcW w:w="1125" w:type="dxa"/>
            <w:tcBorders>
              <w:top w:val="nil"/>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7.61x</w:t>
            </w:r>
          </w:p>
        </w:tc>
      </w:tr>
      <w:tr w:rsidR="005B0FCE" w:rsidRPr="00584545" w:rsidTr="00CB5D6D">
        <w:trPr>
          <w:trHeight w:val="33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hideMark/>
          </w:tcPr>
          <w:p w:rsidR="005B0FCE" w:rsidRPr="00374A23" w:rsidRDefault="005B0FCE" w:rsidP="00E30C65">
            <w:pPr>
              <w:autoSpaceDE w:val="0"/>
              <w:autoSpaceDN w:val="0"/>
              <w:adjustRightInd w:val="0"/>
              <w:spacing w:before="40" w:after="40" w:line="240" w:lineRule="auto"/>
              <w:jc w:val="left"/>
              <w:rPr>
                <w:rStyle w:val="SubtleEmphasis"/>
              </w:rPr>
            </w:pPr>
            <w:r w:rsidRPr="00374A23">
              <w:rPr>
                <w:rStyle w:val="SubtleEmphasis"/>
              </w:rPr>
              <w:t>Debt Service Cover Ratio</w:t>
            </w:r>
          </w:p>
        </w:tc>
        <w:tc>
          <w:tcPr>
            <w:tcW w:w="1125" w:type="dxa"/>
            <w:tcBorders>
              <w:top w:val="nil"/>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3.44x</w:t>
            </w:r>
          </w:p>
        </w:tc>
        <w:tc>
          <w:tcPr>
            <w:tcW w:w="1125" w:type="dxa"/>
            <w:tcBorders>
              <w:top w:val="nil"/>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2.90x</w:t>
            </w:r>
          </w:p>
        </w:tc>
        <w:tc>
          <w:tcPr>
            <w:tcW w:w="1125" w:type="dxa"/>
            <w:tcBorders>
              <w:top w:val="nil"/>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2.91x</w:t>
            </w:r>
          </w:p>
        </w:tc>
      </w:tr>
      <w:tr w:rsidR="005B0FCE" w:rsidRPr="00584545" w:rsidTr="00CB5D6D">
        <w:trPr>
          <w:trHeight w:val="330"/>
          <w:jc w:val="center"/>
        </w:trPr>
        <w:tc>
          <w:tcPr>
            <w:tcW w:w="3300" w:type="dxa"/>
            <w:tcBorders>
              <w:top w:val="nil"/>
              <w:left w:val="single" w:sz="4" w:space="0" w:color="auto"/>
              <w:bottom w:val="single" w:sz="4" w:space="0" w:color="auto"/>
              <w:right w:val="single" w:sz="4" w:space="0" w:color="auto"/>
            </w:tcBorders>
            <w:shd w:val="clear" w:color="auto" w:fill="auto"/>
            <w:hideMark/>
          </w:tcPr>
          <w:p w:rsidR="005B0FCE" w:rsidRPr="00374A23" w:rsidRDefault="005B0FCE" w:rsidP="00E30C65">
            <w:pPr>
              <w:autoSpaceDE w:val="0"/>
              <w:autoSpaceDN w:val="0"/>
              <w:adjustRightInd w:val="0"/>
              <w:spacing w:before="40" w:after="40" w:line="240" w:lineRule="auto"/>
              <w:jc w:val="left"/>
              <w:rPr>
                <w:rStyle w:val="SubtleEmphasis"/>
              </w:rPr>
            </w:pPr>
            <w:r w:rsidRPr="00374A23">
              <w:rPr>
                <w:rStyle w:val="SubtleEmphasis"/>
              </w:rPr>
              <w:t>Unrestricted Current Ratio</w:t>
            </w:r>
          </w:p>
        </w:tc>
        <w:tc>
          <w:tcPr>
            <w:tcW w:w="1125" w:type="dxa"/>
            <w:tcBorders>
              <w:top w:val="nil"/>
              <w:left w:val="nil"/>
              <w:bottom w:val="nil"/>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2.35x</w:t>
            </w:r>
          </w:p>
        </w:tc>
        <w:tc>
          <w:tcPr>
            <w:tcW w:w="1125" w:type="dxa"/>
            <w:tcBorders>
              <w:top w:val="nil"/>
              <w:left w:val="nil"/>
              <w:bottom w:val="nil"/>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2.02x</w:t>
            </w:r>
          </w:p>
        </w:tc>
        <w:tc>
          <w:tcPr>
            <w:tcW w:w="1125" w:type="dxa"/>
            <w:tcBorders>
              <w:top w:val="nil"/>
              <w:left w:val="nil"/>
              <w:bottom w:val="nil"/>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2.50x</w:t>
            </w:r>
          </w:p>
        </w:tc>
      </w:tr>
      <w:tr w:rsidR="00426FBC" w:rsidRPr="00584545" w:rsidTr="00CB5D6D">
        <w:trPr>
          <w:trHeight w:val="330"/>
          <w:jc w:val="center"/>
        </w:trPr>
        <w:tc>
          <w:tcPr>
            <w:tcW w:w="3300" w:type="dxa"/>
            <w:tcBorders>
              <w:top w:val="nil"/>
              <w:left w:val="single" w:sz="4" w:space="0" w:color="auto"/>
              <w:bottom w:val="single" w:sz="4" w:space="0" w:color="auto"/>
              <w:right w:val="nil"/>
            </w:tcBorders>
            <w:shd w:val="clear" w:color="auto" w:fill="auto"/>
            <w:hideMark/>
          </w:tcPr>
          <w:p w:rsidR="00426FBC" w:rsidRPr="00426FBC" w:rsidRDefault="00426FBC" w:rsidP="00426FBC">
            <w:pPr>
              <w:autoSpaceDE w:val="0"/>
              <w:autoSpaceDN w:val="0"/>
              <w:adjustRightInd w:val="0"/>
              <w:spacing w:before="40" w:after="40" w:line="240" w:lineRule="auto"/>
              <w:jc w:val="left"/>
              <w:rPr>
                <w:rStyle w:val="SubtleEmphasis"/>
              </w:rPr>
            </w:pPr>
            <w:r w:rsidRPr="00426FBC">
              <w:rPr>
                <w:rStyle w:val="SubtleEmphasis"/>
              </w:rPr>
              <w:t>Own Source Operating Revenue Ratio</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426FBC" w:rsidRPr="00426FBC" w:rsidRDefault="00426FBC" w:rsidP="00426FBC">
            <w:pPr>
              <w:spacing w:before="0" w:after="0" w:line="240" w:lineRule="auto"/>
              <w:jc w:val="center"/>
            </w:pPr>
            <w:r w:rsidRPr="00426FBC">
              <w:t>75.6%</w:t>
            </w:r>
          </w:p>
        </w:tc>
        <w:tc>
          <w:tcPr>
            <w:tcW w:w="1125" w:type="dxa"/>
            <w:tcBorders>
              <w:top w:val="single" w:sz="4" w:space="0" w:color="auto"/>
              <w:left w:val="nil"/>
              <w:bottom w:val="single" w:sz="4" w:space="0" w:color="auto"/>
              <w:right w:val="single" w:sz="4" w:space="0" w:color="auto"/>
            </w:tcBorders>
            <w:shd w:val="clear" w:color="auto" w:fill="auto"/>
            <w:noWrap/>
            <w:hideMark/>
          </w:tcPr>
          <w:p w:rsidR="00426FBC" w:rsidRPr="00426FBC" w:rsidRDefault="00426FBC" w:rsidP="00426FBC">
            <w:pPr>
              <w:spacing w:before="0" w:after="0" w:line="240" w:lineRule="auto"/>
              <w:jc w:val="center"/>
            </w:pPr>
            <w:r w:rsidRPr="00426FBC">
              <w:t>73.9%</w:t>
            </w:r>
          </w:p>
        </w:tc>
        <w:tc>
          <w:tcPr>
            <w:tcW w:w="1125" w:type="dxa"/>
            <w:tcBorders>
              <w:top w:val="single" w:sz="4" w:space="0" w:color="auto"/>
              <w:left w:val="nil"/>
              <w:bottom w:val="single" w:sz="4" w:space="0" w:color="auto"/>
              <w:right w:val="single" w:sz="4" w:space="0" w:color="auto"/>
            </w:tcBorders>
            <w:shd w:val="clear" w:color="auto" w:fill="auto"/>
            <w:noWrap/>
            <w:hideMark/>
          </w:tcPr>
          <w:p w:rsidR="00426FBC" w:rsidRPr="00426FBC" w:rsidRDefault="00426FBC" w:rsidP="00426FBC">
            <w:pPr>
              <w:spacing w:before="0" w:after="0" w:line="240" w:lineRule="auto"/>
              <w:jc w:val="center"/>
            </w:pPr>
            <w:r w:rsidRPr="00426FBC">
              <w:t>73.3%</w:t>
            </w:r>
          </w:p>
        </w:tc>
      </w:tr>
      <w:tr w:rsidR="00426FBC" w:rsidRPr="00584545" w:rsidTr="00CB5D6D">
        <w:trPr>
          <w:trHeight w:val="330"/>
          <w:jc w:val="center"/>
        </w:trPr>
        <w:tc>
          <w:tcPr>
            <w:tcW w:w="3300" w:type="dxa"/>
            <w:tcBorders>
              <w:top w:val="nil"/>
              <w:left w:val="single" w:sz="4" w:space="0" w:color="auto"/>
              <w:bottom w:val="single" w:sz="4" w:space="0" w:color="auto"/>
              <w:right w:val="nil"/>
            </w:tcBorders>
            <w:shd w:val="clear" w:color="auto" w:fill="auto"/>
            <w:hideMark/>
          </w:tcPr>
          <w:p w:rsidR="00426FBC" w:rsidRPr="00426FBC" w:rsidRDefault="00426FBC" w:rsidP="00426FBC">
            <w:pPr>
              <w:autoSpaceDE w:val="0"/>
              <w:autoSpaceDN w:val="0"/>
              <w:adjustRightInd w:val="0"/>
              <w:spacing w:before="40" w:after="40" w:line="240" w:lineRule="auto"/>
              <w:jc w:val="left"/>
              <w:rPr>
                <w:rStyle w:val="SubtleEmphasis"/>
              </w:rPr>
            </w:pPr>
            <w:r w:rsidRPr="00426FBC">
              <w:rPr>
                <w:rStyle w:val="SubtleEmphasis"/>
              </w:rPr>
              <w:t>Cash Expense Ratio</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426FBC" w:rsidRPr="00426FBC" w:rsidRDefault="00426FBC" w:rsidP="00426FBC">
            <w:pPr>
              <w:spacing w:before="0" w:after="0" w:line="240" w:lineRule="auto"/>
              <w:jc w:val="center"/>
            </w:pPr>
            <w:r w:rsidRPr="00426FBC">
              <w:t>8.0 months</w:t>
            </w:r>
          </w:p>
        </w:tc>
        <w:tc>
          <w:tcPr>
            <w:tcW w:w="1125" w:type="dxa"/>
            <w:tcBorders>
              <w:top w:val="single" w:sz="4" w:space="0" w:color="auto"/>
              <w:left w:val="nil"/>
              <w:bottom w:val="single" w:sz="4" w:space="0" w:color="auto"/>
              <w:right w:val="single" w:sz="4" w:space="0" w:color="auto"/>
            </w:tcBorders>
            <w:shd w:val="clear" w:color="auto" w:fill="auto"/>
            <w:noWrap/>
            <w:hideMark/>
          </w:tcPr>
          <w:p w:rsidR="00426FBC" w:rsidRPr="00426FBC" w:rsidRDefault="00426FBC" w:rsidP="00426FBC">
            <w:pPr>
              <w:spacing w:before="0" w:after="0" w:line="240" w:lineRule="auto"/>
              <w:jc w:val="center"/>
            </w:pPr>
            <w:r w:rsidRPr="00426FBC">
              <w:t>2.7 months</w:t>
            </w:r>
          </w:p>
        </w:tc>
        <w:tc>
          <w:tcPr>
            <w:tcW w:w="1125" w:type="dxa"/>
            <w:tcBorders>
              <w:top w:val="single" w:sz="4" w:space="0" w:color="auto"/>
              <w:left w:val="nil"/>
              <w:bottom w:val="single" w:sz="4" w:space="0" w:color="auto"/>
              <w:right w:val="single" w:sz="4" w:space="0" w:color="auto"/>
            </w:tcBorders>
            <w:shd w:val="clear" w:color="auto" w:fill="auto"/>
            <w:noWrap/>
            <w:hideMark/>
          </w:tcPr>
          <w:p w:rsidR="00426FBC" w:rsidRPr="00426FBC" w:rsidRDefault="00426FBC" w:rsidP="00426FBC">
            <w:pPr>
              <w:spacing w:before="0" w:after="0" w:line="240" w:lineRule="auto"/>
              <w:jc w:val="center"/>
            </w:pPr>
            <w:r w:rsidRPr="00426FBC">
              <w:t>3.5 months</w:t>
            </w:r>
          </w:p>
        </w:tc>
      </w:tr>
      <w:tr w:rsidR="005B0FCE" w:rsidRPr="00584545" w:rsidTr="00CB5D6D">
        <w:trPr>
          <w:trHeight w:val="330"/>
          <w:jc w:val="center"/>
        </w:trPr>
        <w:tc>
          <w:tcPr>
            <w:tcW w:w="3300" w:type="dxa"/>
            <w:tcBorders>
              <w:top w:val="nil"/>
              <w:left w:val="single" w:sz="4" w:space="0" w:color="auto"/>
              <w:bottom w:val="single" w:sz="4" w:space="0" w:color="auto"/>
              <w:right w:val="nil"/>
            </w:tcBorders>
            <w:shd w:val="clear" w:color="auto" w:fill="auto"/>
            <w:hideMark/>
          </w:tcPr>
          <w:p w:rsidR="005B0FCE" w:rsidRPr="00374A23" w:rsidRDefault="005B0FCE" w:rsidP="00E30C65">
            <w:pPr>
              <w:autoSpaceDE w:val="0"/>
              <w:autoSpaceDN w:val="0"/>
              <w:adjustRightInd w:val="0"/>
              <w:spacing w:before="40" w:after="40" w:line="240" w:lineRule="auto"/>
              <w:jc w:val="left"/>
              <w:rPr>
                <w:rStyle w:val="SubtleEmphasis"/>
              </w:rPr>
            </w:pPr>
            <w:r w:rsidRPr="00374A23">
              <w:rPr>
                <w:rStyle w:val="SubtleEmphasis"/>
              </w:rPr>
              <w:t>Net assets ($'000’s)</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2,271,097</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2,101,273</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5B0FCE" w:rsidRPr="00C92307" w:rsidRDefault="005B0FCE" w:rsidP="005B0FCE">
            <w:pPr>
              <w:spacing w:before="0" w:after="0" w:line="240" w:lineRule="auto"/>
              <w:jc w:val="center"/>
              <w:rPr>
                <w:color w:val="000000"/>
                <w:spacing w:val="0"/>
                <w:kern w:val="0"/>
              </w:rPr>
            </w:pPr>
            <w:r w:rsidRPr="00C92307">
              <w:rPr>
                <w:color w:val="000000"/>
                <w:spacing w:val="0"/>
                <w:kern w:val="0"/>
              </w:rPr>
              <w:t>1,724,605</w:t>
            </w:r>
          </w:p>
        </w:tc>
      </w:tr>
    </w:tbl>
    <w:p w:rsidR="0044330F" w:rsidRDefault="0044330F" w:rsidP="00374A23">
      <w:pPr>
        <w:pStyle w:val="Heading3"/>
      </w:pPr>
    </w:p>
    <w:p w:rsidR="003D5DCE" w:rsidRPr="00893E42" w:rsidRDefault="00821C83" w:rsidP="00374A23">
      <w:pPr>
        <w:pStyle w:val="Heading3"/>
      </w:pPr>
      <w:r>
        <w:t>Key Observations</w:t>
      </w:r>
    </w:p>
    <w:p w:rsidR="00C81C45" w:rsidRDefault="00C81C45" w:rsidP="00C81C45">
      <w:pPr>
        <w:pStyle w:val="Subtitle"/>
        <w:ind w:left="714" w:hanging="357"/>
      </w:pPr>
      <w:r>
        <w:t>EBITDA has increased in the last three years, reflecting the steady growth of the Council’s operating activities.</w:t>
      </w:r>
    </w:p>
    <w:p w:rsidR="00C81C45" w:rsidRPr="00E30C65" w:rsidRDefault="00C81C45" w:rsidP="00C81C45">
      <w:pPr>
        <w:pStyle w:val="Subtitle"/>
        <w:ind w:left="714" w:hanging="357"/>
      </w:pPr>
      <w:r>
        <w:t>The Council’s Operating Ratio is declining and together with the increasing EBITDA, highlights the negative impact of the increased depreciation expense on operating results.</w:t>
      </w:r>
    </w:p>
    <w:p w:rsidR="00C81C45" w:rsidRDefault="00C81C45" w:rsidP="00C81C45">
      <w:pPr>
        <w:pStyle w:val="Subtitle"/>
        <w:ind w:left="714" w:hanging="357"/>
      </w:pPr>
      <w:r>
        <w:t>The Council has a sustainable level of debt as demonstrated by its strong debt servicing ability.  The Council’s EBITDA is increasing and is gradually repaying debt which leads to a gradually improving Interest Cover Ratio and DSCR.  It has maintained a DSCR at 2.8x or above in the last three years which is well above the benchmark ratio of 2.0x.  The Interest Cover Ratio is also well above the benchmark of 4.0x.</w:t>
      </w:r>
    </w:p>
    <w:p w:rsidR="00C81C45" w:rsidRDefault="00C81C45" w:rsidP="00C81C45">
      <w:pPr>
        <w:pStyle w:val="Subtitle"/>
        <w:ind w:left="714" w:hanging="357"/>
      </w:pPr>
      <w:r>
        <w:t>A large portion of the debt, $50.4m in 2011, is used for sewerage services, recoverable by sewerage charges if sustainably managed in isolation.</w:t>
      </w:r>
    </w:p>
    <w:p w:rsidR="00C81C45" w:rsidRDefault="00C81C45" w:rsidP="00C81C45">
      <w:pPr>
        <w:pStyle w:val="Subtitle"/>
        <w:ind w:left="714" w:hanging="357"/>
      </w:pPr>
      <w:r>
        <w:t xml:space="preserve">The Council’s Unrestricted Current Ratio has been decreasing over time partly due to the decrease in the value of its </w:t>
      </w:r>
      <w:r w:rsidR="00B008B8">
        <w:t xml:space="preserve">current </w:t>
      </w:r>
      <w:r>
        <w:t xml:space="preserve">investments.  Overall, the Unrestricted Current Ratio remains above the benchmark level of </w:t>
      </w:r>
      <w:proofErr w:type="gramStart"/>
      <w:r>
        <w:t>1.5x</w:t>
      </w:r>
      <w:proofErr w:type="gramEnd"/>
      <w:r>
        <w:t xml:space="preserve"> and is considered to be at a sustainable level</w:t>
      </w:r>
      <w:r w:rsidRPr="006950B8">
        <w:t>.</w:t>
      </w:r>
    </w:p>
    <w:p w:rsidR="009B7C3F" w:rsidRDefault="00B16518">
      <w:pPr>
        <w:pStyle w:val="Subtitle"/>
        <w:ind w:left="714" w:hanging="357"/>
      </w:pPr>
      <w:r>
        <w:t>The Cash Expense Ratio is above benchmark of 3.0 months in two of the three years.  This demonstrates that the Council had the ability to meet its day to day expenses.</w:t>
      </w:r>
      <w:r w:rsidR="005F5BF6">
        <w:t xml:space="preserve">  The 2011 ratio is partly skewed because the Council moved a portion of its investments into short term deposits which are now classified as cash.</w:t>
      </w:r>
    </w:p>
    <w:p w:rsidR="00C81C45" w:rsidRDefault="00C81C45" w:rsidP="00C81C45">
      <w:pPr>
        <w:pStyle w:val="Subtitle"/>
        <w:ind w:left="714" w:hanging="357"/>
      </w:pPr>
      <w:r>
        <w:t>The Council’s Net Assets have increased over the period particularly in 2010 when Asset Revaluation added $168m to the value of infrastructure assets.</w:t>
      </w:r>
    </w:p>
    <w:p w:rsidR="00C81C45" w:rsidRPr="00D05D55" w:rsidRDefault="00C81C45" w:rsidP="00C81C45">
      <w:pPr>
        <w:pStyle w:val="Subtitle"/>
        <w:ind w:left="714" w:hanging="357"/>
      </w:pPr>
      <w:r>
        <w:t>Removing the impact of Asset Revaluations, the Council’s infrastructure, property, plant and equipment assets have increased in the last three years by a net $30.4m (</w:t>
      </w:r>
      <w:r w:rsidRPr="00A44904">
        <w:t xml:space="preserve">asset purchases </w:t>
      </w:r>
      <w:r>
        <w:t xml:space="preserve">less </w:t>
      </w:r>
      <w:r w:rsidRPr="00A44904">
        <w:t>the combined value of disposed assets and depreciation</w:t>
      </w:r>
      <w:r>
        <w:t xml:space="preserve"> expense). </w:t>
      </w:r>
    </w:p>
    <w:p w:rsidR="00947694" w:rsidRDefault="00947694">
      <w:pPr>
        <w:spacing w:before="0" w:after="0" w:line="240" w:lineRule="auto"/>
        <w:jc w:val="left"/>
        <w:rPr>
          <w:b/>
        </w:rPr>
      </w:pPr>
      <w:r>
        <w:br w:type="page"/>
      </w:r>
    </w:p>
    <w:p w:rsidR="009B7C3F" w:rsidRDefault="003D5DCE">
      <w:pPr>
        <w:pStyle w:val="Heading2"/>
        <w:spacing w:before="220" w:after="220" w:line="280" w:lineRule="exact"/>
      </w:pPr>
      <w:bookmarkStart w:id="26" w:name="_Toc326918022"/>
      <w:r w:rsidRPr="00B12DD3">
        <w:lastRenderedPageBreak/>
        <w:t>3.5:</w:t>
      </w:r>
      <w:r w:rsidRPr="00B12DD3">
        <w:tab/>
        <w:t xml:space="preserve">Statement of </w:t>
      </w:r>
      <w:proofErr w:type="spellStart"/>
      <w:r w:rsidRPr="00B12DD3">
        <w:t>Cashflows</w:t>
      </w:r>
      <w:bookmarkEnd w:id="26"/>
      <w:proofErr w:type="spellEnd"/>
    </w:p>
    <w:p w:rsidR="0044330F" w:rsidRDefault="00A404CB">
      <w:pPr>
        <w:spacing w:before="0" w:after="0" w:line="240" w:lineRule="auto"/>
        <w:jc w:val="left"/>
        <w:rPr>
          <w:u w:val="single"/>
        </w:rPr>
      </w:pPr>
      <w:r>
        <w:rPr>
          <w:noProof/>
        </w:rPr>
        <w:drawing>
          <wp:anchor distT="0" distB="0" distL="114300" distR="114300" simplePos="0" relativeHeight="251661312" behindDoc="0" locked="0" layoutInCell="1" allowOverlap="1">
            <wp:simplePos x="0" y="0"/>
            <wp:positionH relativeFrom="column">
              <wp:posOffset>-39370</wp:posOffset>
            </wp:positionH>
            <wp:positionV relativeFrom="paragraph">
              <wp:posOffset>69215</wp:posOffset>
            </wp:positionV>
            <wp:extent cx="5099050" cy="2717165"/>
            <wp:effectExtent l="19050" t="0" r="6350" b="0"/>
            <wp:wrapTopAndBottom/>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99050" cy="2717165"/>
                    </a:xfrm>
                    <a:prstGeom prst="rect">
                      <a:avLst/>
                    </a:prstGeom>
                    <a:noFill/>
                    <a:ln w="9525">
                      <a:noFill/>
                      <a:miter lim="800000"/>
                      <a:headEnd/>
                      <a:tailEnd/>
                    </a:ln>
                  </pic:spPr>
                </pic:pic>
              </a:graphicData>
            </a:graphic>
          </wp:anchor>
        </w:drawing>
      </w:r>
    </w:p>
    <w:p w:rsidR="00E30C65" w:rsidRPr="002625EB" w:rsidRDefault="00E30C65" w:rsidP="00374A23">
      <w:pPr>
        <w:pStyle w:val="Heading3"/>
      </w:pPr>
      <w:r>
        <w:t>Key Observations</w:t>
      </w:r>
    </w:p>
    <w:p w:rsidR="00C81C45" w:rsidRDefault="00C81C45" w:rsidP="00C81C45">
      <w:pPr>
        <w:pStyle w:val="ListParagraph"/>
        <w:numPr>
          <w:ilvl w:val="0"/>
          <w:numId w:val="1"/>
        </w:numPr>
        <w:ind w:left="714" w:hanging="357"/>
      </w:pPr>
      <w:r>
        <w:t>The Council’s</w:t>
      </w:r>
      <w:r w:rsidRPr="00130912">
        <w:t xml:space="preserve"> significant increase in </w:t>
      </w:r>
      <w:r>
        <w:t xml:space="preserve">its </w:t>
      </w:r>
      <w:r w:rsidRPr="00130912">
        <w:t xml:space="preserve">cash balance in 2011 </w:t>
      </w:r>
      <w:r>
        <w:t xml:space="preserve">is because it </w:t>
      </w:r>
      <w:r w:rsidRPr="00130912">
        <w:t>moved a large portion of its non-current deposits to short</w:t>
      </w:r>
      <w:r>
        <w:t>er</w:t>
      </w:r>
      <w:r w:rsidRPr="00130912">
        <w:t xml:space="preserve"> term deposits (which are now classified as cash and </w:t>
      </w:r>
      <w:r>
        <w:t xml:space="preserve">cash </w:t>
      </w:r>
      <w:r w:rsidRPr="00130912">
        <w:t>equivalents).</w:t>
      </w:r>
    </w:p>
    <w:p w:rsidR="00C81C45" w:rsidRDefault="00C81C45" w:rsidP="00C81C45">
      <w:pPr>
        <w:pStyle w:val="ListParagraph"/>
        <w:numPr>
          <w:ilvl w:val="0"/>
          <w:numId w:val="1"/>
        </w:numPr>
        <w:ind w:left="714" w:hanging="357"/>
      </w:pPr>
      <w:r>
        <w:t xml:space="preserve">The Council’s cash and investments in 2011 include $35.5m in internally restricted and unrestricted funds.  </w:t>
      </w:r>
    </w:p>
    <w:p w:rsidR="00C81C45" w:rsidRDefault="00C81C45" w:rsidP="00C81C45">
      <w:pPr>
        <w:pStyle w:val="ListParagraph"/>
        <w:numPr>
          <w:ilvl w:val="0"/>
          <w:numId w:val="1"/>
        </w:numPr>
        <w:ind w:left="714" w:hanging="357"/>
      </w:pPr>
      <w:r>
        <w:t>The Council’s $22.9m investment portfolio balance, as at 2011, includes $5.5m in managed funds, $8.1m in long term deposits, $7.0m in floating rate notes and negotiable certificate of deposits, $2.3m in CDOs and a very small amount in unlisted equity securities.</w:t>
      </w:r>
    </w:p>
    <w:p w:rsidR="00C81C45" w:rsidRDefault="00C81C45" w:rsidP="00C81C45">
      <w:pPr>
        <w:pStyle w:val="ListParagraph"/>
        <w:numPr>
          <w:ilvl w:val="0"/>
          <w:numId w:val="1"/>
        </w:numPr>
        <w:ind w:left="714" w:hanging="357"/>
      </w:pPr>
      <w:r w:rsidRPr="00130912">
        <w:t xml:space="preserve">The Council’s </w:t>
      </w:r>
      <w:proofErr w:type="spellStart"/>
      <w:r w:rsidRPr="00130912">
        <w:t>cashflow</w:t>
      </w:r>
      <w:proofErr w:type="spellEnd"/>
      <w:r w:rsidRPr="00130912">
        <w:t xml:space="preserve"> position has been improving in the past </w:t>
      </w:r>
      <w:r>
        <w:t>two</w:t>
      </w:r>
      <w:r w:rsidRPr="00130912">
        <w:t xml:space="preserve"> years since the low in 2009.  Council has been generating a</w:t>
      </w:r>
      <w:r>
        <w:t>n</w:t>
      </w:r>
      <w:r w:rsidRPr="00130912">
        <w:t xml:space="preserve"> increasing level of operating </w:t>
      </w:r>
      <w:proofErr w:type="spellStart"/>
      <w:r w:rsidRPr="00130912">
        <w:t>cashflow</w:t>
      </w:r>
      <w:proofErr w:type="spellEnd"/>
      <w:r w:rsidRPr="00130912">
        <w:t xml:space="preserve"> from the steady sources of rates and annual charg</w:t>
      </w:r>
      <w:r>
        <w:t>es, and user charges and fees.</w:t>
      </w:r>
    </w:p>
    <w:p w:rsidR="00C81C45" w:rsidRDefault="00C81C45" w:rsidP="00C81C45">
      <w:pPr>
        <w:pStyle w:val="ListParagraph"/>
        <w:numPr>
          <w:ilvl w:val="0"/>
          <w:numId w:val="1"/>
        </w:numPr>
        <w:ind w:left="714" w:hanging="357"/>
      </w:pPr>
      <w:r w:rsidRPr="00130912">
        <w:t xml:space="preserve">In 2011, the Council’s </w:t>
      </w:r>
      <w:proofErr w:type="spellStart"/>
      <w:r w:rsidRPr="00130912">
        <w:t>cashflow</w:t>
      </w:r>
      <w:proofErr w:type="spellEnd"/>
      <w:r w:rsidRPr="00130912">
        <w:t xml:space="preserve"> from investing activities has been supplemented with the sale of assets and improving </w:t>
      </w:r>
      <w:proofErr w:type="spellStart"/>
      <w:r w:rsidRPr="00130912">
        <w:t>cashflow</w:t>
      </w:r>
      <w:proofErr w:type="spellEnd"/>
      <w:r w:rsidRPr="00130912">
        <w:t xml:space="preserve"> from the sale of investment securities.  Significant </w:t>
      </w:r>
      <w:proofErr w:type="spellStart"/>
      <w:r w:rsidRPr="00130912">
        <w:t>cashflow</w:t>
      </w:r>
      <w:proofErr w:type="spellEnd"/>
      <w:r w:rsidRPr="00130912">
        <w:t xml:space="preserve"> from the sale of investment securities is not expected to continue as the Council moves aw</w:t>
      </w:r>
      <w:r>
        <w:t>ay from securities investment, following the Ministerial Investment Order issued in 2008 and later revised in 2011.</w:t>
      </w:r>
    </w:p>
    <w:p w:rsidR="00C81C45" w:rsidRPr="00130912" w:rsidRDefault="00C81C45" w:rsidP="00C81C45">
      <w:pPr>
        <w:pStyle w:val="ListParagraph"/>
        <w:numPr>
          <w:ilvl w:val="0"/>
          <w:numId w:val="1"/>
        </w:numPr>
        <w:ind w:left="714" w:hanging="357"/>
      </w:pPr>
      <w:r>
        <w:t>Overall, the level of cash and investment assets, and the Unrestricted Current Ratio suggest that the Council was comfortable in meeting their day to day obligations.</w:t>
      </w:r>
    </w:p>
    <w:p w:rsidR="00947694" w:rsidRDefault="00947694">
      <w:pPr>
        <w:spacing w:before="0" w:after="0" w:line="240" w:lineRule="auto"/>
        <w:jc w:val="left"/>
        <w:rPr>
          <w:b/>
        </w:rPr>
      </w:pPr>
      <w:bookmarkStart w:id="27" w:name="_Toc326918023"/>
      <w:r>
        <w:br w:type="page"/>
      </w:r>
    </w:p>
    <w:p w:rsidR="00B96B71" w:rsidRPr="00893E42" w:rsidRDefault="00B96B71" w:rsidP="00893E42">
      <w:pPr>
        <w:pStyle w:val="Heading2"/>
        <w:spacing w:before="220" w:after="220" w:line="280" w:lineRule="exact"/>
      </w:pPr>
      <w:r>
        <w:lastRenderedPageBreak/>
        <w:t>3.6:</w:t>
      </w:r>
      <w:r>
        <w:tab/>
      </w:r>
      <w:r w:rsidRPr="00E45147">
        <w:t>Capital Expenditure</w:t>
      </w:r>
      <w:bookmarkEnd w:id="27"/>
    </w:p>
    <w:p w:rsidR="00B96B71" w:rsidRPr="00893E42" w:rsidRDefault="00B96B71" w:rsidP="00893E42">
      <w:pPr>
        <w:pStyle w:val="Heading3"/>
        <w:rPr>
          <w:u w:val="none"/>
        </w:rPr>
      </w:pPr>
      <w:r w:rsidRPr="00893E42">
        <w:rPr>
          <w:u w:val="none"/>
        </w:rPr>
        <w:t>The following section predominantly relies on information obtained from Special Schedules 7 and 8 that accompany the annual financial statements.  These figures are unaudited and are therefore Council’s estimated figures.</w:t>
      </w:r>
    </w:p>
    <w:p w:rsidR="00B96B71" w:rsidRPr="00F25129" w:rsidRDefault="00010CA2" w:rsidP="00F25129">
      <w:pPr>
        <w:pStyle w:val="Heading2"/>
      </w:pPr>
      <w:r>
        <w:rPr>
          <w:noProof/>
        </w:rPr>
        <w:drawing>
          <wp:anchor distT="0" distB="0" distL="114300" distR="114300" simplePos="0" relativeHeight="251663360" behindDoc="0" locked="0" layoutInCell="1" allowOverlap="1">
            <wp:simplePos x="0" y="0"/>
            <wp:positionH relativeFrom="column">
              <wp:posOffset>12065</wp:posOffset>
            </wp:positionH>
            <wp:positionV relativeFrom="paragraph">
              <wp:posOffset>345440</wp:posOffset>
            </wp:positionV>
            <wp:extent cx="5414010" cy="2891790"/>
            <wp:effectExtent l="19050" t="0" r="0" b="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414010" cy="2891790"/>
                    </a:xfrm>
                    <a:prstGeom prst="rect">
                      <a:avLst/>
                    </a:prstGeom>
                    <a:noFill/>
                    <a:ln w="9525">
                      <a:noFill/>
                      <a:miter lim="800000"/>
                      <a:headEnd/>
                      <a:tailEnd/>
                    </a:ln>
                  </pic:spPr>
                </pic:pic>
              </a:graphicData>
            </a:graphic>
          </wp:anchor>
        </w:drawing>
      </w:r>
      <w:r w:rsidR="00B96B71" w:rsidRPr="00893E42">
        <w:t>3.6(a):</w:t>
      </w:r>
      <w:r w:rsidR="00B96B71" w:rsidRPr="00893E42">
        <w:tab/>
        <w:t>Infrastructure Backlog</w:t>
      </w:r>
    </w:p>
    <w:p w:rsidR="0044330F" w:rsidRDefault="003C7DCE" w:rsidP="003C7DCE">
      <w:pPr>
        <w:pStyle w:val="Heading3"/>
        <w:rPr>
          <w:u w:val="none"/>
        </w:rPr>
      </w:pPr>
      <w:r w:rsidRPr="003C7DCE">
        <w:rPr>
          <w:u w:val="none"/>
        </w:rPr>
        <w:t xml:space="preserve"> </w:t>
      </w:r>
    </w:p>
    <w:p w:rsidR="003C7DCE" w:rsidRPr="003C7DCE" w:rsidRDefault="00F25129" w:rsidP="003C7DCE">
      <w:pPr>
        <w:pStyle w:val="Heading3"/>
        <w:rPr>
          <w:u w:val="none"/>
        </w:rPr>
      </w:pPr>
      <w:r>
        <w:rPr>
          <w:noProof/>
          <w:u w:val="none"/>
        </w:rPr>
        <w:drawing>
          <wp:anchor distT="0" distB="0" distL="114300" distR="114300" simplePos="0" relativeHeight="251665408" behindDoc="0" locked="0" layoutInCell="1" allowOverlap="1">
            <wp:simplePos x="0" y="0"/>
            <wp:positionH relativeFrom="column">
              <wp:posOffset>-39370</wp:posOffset>
            </wp:positionH>
            <wp:positionV relativeFrom="paragraph">
              <wp:posOffset>128270</wp:posOffset>
            </wp:positionV>
            <wp:extent cx="5415280" cy="2889250"/>
            <wp:effectExtent l="19050" t="0" r="0"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15280" cy="2889250"/>
                    </a:xfrm>
                    <a:prstGeom prst="rect">
                      <a:avLst/>
                    </a:prstGeom>
                    <a:noFill/>
                    <a:ln w="9525">
                      <a:noFill/>
                      <a:miter lim="800000"/>
                      <a:headEnd/>
                      <a:tailEnd/>
                    </a:ln>
                  </pic:spPr>
                </pic:pic>
              </a:graphicData>
            </a:graphic>
          </wp:anchor>
        </w:drawing>
      </w:r>
      <w:r w:rsidR="003C7DCE" w:rsidRPr="003C7DCE">
        <w:rPr>
          <w:u w:val="none"/>
        </w:rPr>
        <w:t xml:space="preserve">In 2011, the Council reported a total backlog of $43.1m </w:t>
      </w:r>
      <w:r w:rsidR="00EA507A">
        <w:rPr>
          <w:u w:val="none"/>
        </w:rPr>
        <w:t>which is an increase from</w:t>
      </w:r>
      <w:r w:rsidR="003C7DCE">
        <w:rPr>
          <w:u w:val="none"/>
        </w:rPr>
        <w:t xml:space="preserve"> 2009.</w:t>
      </w:r>
    </w:p>
    <w:p w:rsidR="003C7DCE" w:rsidRPr="006D4E8C" w:rsidRDefault="003C7DCE" w:rsidP="006D4E8C">
      <w:pPr>
        <w:pStyle w:val="ListParagraph"/>
        <w:numPr>
          <w:ilvl w:val="0"/>
          <w:numId w:val="1"/>
        </w:numPr>
        <w:ind w:left="714" w:hanging="357"/>
      </w:pPr>
      <w:r w:rsidRPr="006D4E8C">
        <w:t>The largest category of backlog is in public roads representing 77.9% ($33.6m) of backlog in</w:t>
      </w:r>
      <w:r w:rsidRPr="006950B8">
        <w:t xml:space="preserve"> 2011.  The large increase in public roa</w:t>
      </w:r>
      <w:r w:rsidR="006D4E8C">
        <w:t>ds backlog in 2010</w:t>
      </w:r>
      <w:r w:rsidR="00EA507A">
        <w:t xml:space="preserve"> was</w:t>
      </w:r>
      <w:r w:rsidR="006D4E8C">
        <w:t xml:space="preserve"> mainly due to higher than </w:t>
      </w:r>
      <w:r w:rsidR="006D4E8C">
        <w:lastRenderedPageBreak/>
        <w:t>average rainfall following a period of dr</w:t>
      </w:r>
      <w:r w:rsidR="00EA507A">
        <w:t>o</w:t>
      </w:r>
      <w:r w:rsidR="006D4E8C">
        <w:t xml:space="preserve">ught which </w:t>
      </w:r>
      <w:r w:rsidR="00EA507A">
        <w:t xml:space="preserve">adversely impacted the condition of </w:t>
      </w:r>
      <w:r w:rsidR="006D4E8C">
        <w:t>the roads.</w:t>
      </w:r>
    </w:p>
    <w:p w:rsidR="003C7DCE" w:rsidRPr="006950B8" w:rsidRDefault="003C7DCE" w:rsidP="003C7DCE">
      <w:pPr>
        <w:pStyle w:val="ListParagraph"/>
        <w:numPr>
          <w:ilvl w:val="0"/>
          <w:numId w:val="1"/>
        </w:numPr>
        <w:ind w:left="714" w:hanging="357"/>
      </w:pPr>
      <w:r w:rsidRPr="006950B8">
        <w:t>The Council has attempted to reduce some of this public roads asset backlog and it reduced by $4.8m from 2010 to 2011.</w:t>
      </w:r>
    </w:p>
    <w:p w:rsidR="003C7DCE" w:rsidRPr="006950B8" w:rsidRDefault="003C7DCE" w:rsidP="003C7DCE">
      <w:pPr>
        <w:pStyle w:val="ListParagraph"/>
        <w:numPr>
          <w:ilvl w:val="0"/>
          <w:numId w:val="1"/>
        </w:numPr>
        <w:ind w:left="714" w:hanging="357"/>
      </w:pPr>
      <w:r w:rsidRPr="006950B8">
        <w:t xml:space="preserve">The Council is prioritising its public roads backlog in particular with detailed bridge programs, </w:t>
      </w:r>
      <w:proofErr w:type="spellStart"/>
      <w:r w:rsidRPr="006950B8">
        <w:t>resheeting</w:t>
      </w:r>
      <w:proofErr w:type="spellEnd"/>
      <w:r w:rsidRPr="006950B8">
        <w:t xml:space="preserve"> and resealing work schedules and road strategy programs (such as widening and extension projects).  A small portion of this will be funded by Roads to Recovery funding which is to provide $1.4m in 2013.  It has also applied for LIRS to </w:t>
      </w:r>
      <w:r>
        <w:t xml:space="preserve">assist in </w:t>
      </w:r>
      <w:r w:rsidRPr="006950B8">
        <w:t>address</w:t>
      </w:r>
      <w:r>
        <w:t>ing</w:t>
      </w:r>
      <w:r w:rsidRPr="006950B8">
        <w:t xml:space="preserve"> its public roads related backlog.</w:t>
      </w:r>
    </w:p>
    <w:p w:rsidR="003C7DCE" w:rsidRPr="006950B8" w:rsidRDefault="003C7DCE" w:rsidP="003C7DCE">
      <w:pPr>
        <w:pStyle w:val="ListParagraph"/>
        <w:numPr>
          <w:ilvl w:val="0"/>
          <w:numId w:val="1"/>
        </w:numPr>
        <w:ind w:left="714" w:hanging="357"/>
      </w:pPr>
      <w:r w:rsidRPr="006950B8">
        <w:t>The Council appears to have its water and sewerage assets well maintained since these assets have been continually upgraded to meet higher demand and environmental standards.</w:t>
      </w:r>
    </w:p>
    <w:p w:rsidR="003C7DCE" w:rsidRPr="006950B8" w:rsidRDefault="003C7DCE" w:rsidP="003C7DCE">
      <w:pPr>
        <w:pStyle w:val="ListParagraph"/>
        <w:numPr>
          <w:ilvl w:val="0"/>
          <w:numId w:val="1"/>
        </w:numPr>
        <w:ind w:left="714" w:hanging="357"/>
      </w:pPr>
      <w:r w:rsidRPr="006950B8">
        <w:t>Community buildings and amenities buildings have also improved over the years through a number of upgrade projects.  A large portion of its drainage works backlog, valued at $3.8m, was also addressed in 2010.</w:t>
      </w:r>
    </w:p>
    <w:p w:rsidR="003C7DCE" w:rsidRPr="006950B8" w:rsidRDefault="003C7DCE" w:rsidP="003C7DCE">
      <w:pPr>
        <w:pStyle w:val="ListParagraph"/>
        <w:numPr>
          <w:ilvl w:val="0"/>
          <w:numId w:val="1"/>
        </w:numPr>
        <w:ind w:left="714" w:hanging="357"/>
      </w:pPr>
      <w:r w:rsidRPr="006950B8">
        <w:t>Overall, the Council has been proactively addressing its infrastructure backlog.</w:t>
      </w:r>
    </w:p>
    <w:p w:rsidR="00D70A71" w:rsidRDefault="00D70A71">
      <w:pPr>
        <w:pStyle w:val="Heading2"/>
        <w:spacing w:before="220" w:after="220" w:line="280" w:lineRule="exact"/>
      </w:pPr>
    </w:p>
    <w:p w:rsidR="00380018" w:rsidRDefault="00B96B71">
      <w:pPr>
        <w:pStyle w:val="Heading2"/>
        <w:spacing w:before="220" w:after="220" w:line="280" w:lineRule="exact"/>
      </w:pPr>
      <w:r w:rsidRPr="00893E42">
        <w:t>3.6(b):</w:t>
      </w:r>
      <w:r w:rsidRPr="00893E42">
        <w:tab/>
        <w:t>Infrastructure Status</w:t>
      </w:r>
    </w:p>
    <w:tbl>
      <w:tblPr>
        <w:tblW w:w="7701" w:type="dxa"/>
        <w:jc w:val="center"/>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1137"/>
        <w:gridCol w:w="1138"/>
        <w:gridCol w:w="1138"/>
      </w:tblGrid>
      <w:tr w:rsidR="00B96B71" w:rsidRPr="007775EC" w:rsidTr="00FB5E80">
        <w:trPr>
          <w:trHeight w:val="315"/>
          <w:jc w:val="center"/>
        </w:trPr>
        <w:tc>
          <w:tcPr>
            <w:tcW w:w="4288" w:type="dxa"/>
            <w:shd w:val="clear" w:color="auto" w:fill="BACFF8"/>
            <w:noWrap/>
            <w:vAlign w:val="center"/>
            <w:hideMark/>
          </w:tcPr>
          <w:p w:rsidR="00B96B71" w:rsidRPr="00330530" w:rsidRDefault="00B96B71" w:rsidP="00FB5E80">
            <w:pPr>
              <w:autoSpaceDE w:val="0"/>
              <w:autoSpaceDN w:val="0"/>
              <w:adjustRightInd w:val="0"/>
              <w:spacing w:before="40" w:after="40" w:line="240" w:lineRule="auto"/>
              <w:jc w:val="left"/>
              <w:rPr>
                <w:rFonts w:cs="Calibri"/>
                <w:b/>
                <w:color w:val="000000"/>
                <w:spacing w:val="0"/>
                <w:kern w:val="0"/>
                <w:lang w:eastAsia="en-US"/>
              </w:rPr>
            </w:pPr>
            <w:r>
              <w:rPr>
                <w:rFonts w:cs="Calibri"/>
                <w:b/>
                <w:color w:val="000000"/>
                <w:spacing w:val="0"/>
                <w:kern w:val="0"/>
                <w:lang w:eastAsia="en-US"/>
              </w:rPr>
              <w:t>Infrastructure Status</w:t>
            </w:r>
          </w:p>
        </w:tc>
        <w:tc>
          <w:tcPr>
            <w:tcW w:w="3413" w:type="dxa"/>
            <w:gridSpan w:val="3"/>
            <w:shd w:val="clear" w:color="auto" w:fill="BACFF8"/>
            <w:noWrap/>
            <w:vAlign w:val="center"/>
            <w:hideMark/>
          </w:tcPr>
          <w:p w:rsidR="00B96B71" w:rsidRPr="00330530" w:rsidRDefault="00B96B71" w:rsidP="00FB5E80">
            <w:pPr>
              <w:autoSpaceDE w:val="0"/>
              <w:autoSpaceDN w:val="0"/>
              <w:adjustRightInd w:val="0"/>
              <w:spacing w:before="40" w:after="40" w:line="240" w:lineRule="auto"/>
              <w:jc w:val="center"/>
              <w:rPr>
                <w:rFonts w:cs="Calibri"/>
                <w:b/>
                <w:color w:val="000000"/>
                <w:spacing w:val="0"/>
                <w:kern w:val="0"/>
                <w:lang w:eastAsia="en-US"/>
              </w:rPr>
            </w:pPr>
            <w:r w:rsidRPr="00330530">
              <w:rPr>
                <w:rFonts w:cs="Calibri"/>
                <w:b/>
                <w:color w:val="000000"/>
                <w:spacing w:val="0"/>
                <w:kern w:val="0"/>
                <w:lang w:eastAsia="en-US"/>
              </w:rPr>
              <w:t>Year ended 30 June</w:t>
            </w:r>
          </w:p>
        </w:tc>
      </w:tr>
      <w:tr w:rsidR="00B96B71" w:rsidRPr="007775EC" w:rsidTr="002C37F9">
        <w:trPr>
          <w:trHeight w:val="315"/>
          <w:jc w:val="center"/>
        </w:trPr>
        <w:tc>
          <w:tcPr>
            <w:tcW w:w="4288" w:type="dxa"/>
            <w:shd w:val="clear" w:color="auto" w:fill="FFFFFF"/>
            <w:noWrap/>
            <w:vAlign w:val="center"/>
            <w:hideMark/>
          </w:tcPr>
          <w:p w:rsidR="00B96B71" w:rsidRPr="00330530" w:rsidRDefault="00B96B71" w:rsidP="00FB5E80">
            <w:pPr>
              <w:autoSpaceDE w:val="0"/>
              <w:autoSpaceDN w:val="0"/>
              <w:adjustRightInd w:val="0"/>
              <w:spacing w:before="40" w:after="40" w:line="240" w:lineRule="auto"/>
              <w:jc w:val="left"/>
              <w:rPr>
                <w:rFonts w:cs="Calibri"/>
                <w:b/>
                <w:color w:val="000000"/>
                <w:spacing w:val="0"/>
                <w:kern w:val="0"/>
                <w:lang w:eastAsia="en-US"/>
              </w:rPr>
            </w:pPr>
            <w:r w:rsidRPr="00330530">
              <w:rPr>
                <w:rFonts w:cs="Calibri"/>
                <w:b/>
                <w:color w:val="000000"/>
                <w:spacing w:val="0"/>
                <w:kern w:val="0"/>
                <w:lang w:eastAsia="en-US"/>
              </w:rPr>
              <w:t> </w:t>
            </w:r>
          </w:p>
        </w:tc>
        <w:tc>
          <w:tcPr>
            <w:tcW w:w="1137" w:type="dxa"/>
            <w:shd w:val="clear" w:color="auto" w:fill="FFFFFF"/>
            <w:noWrap/>
            <w:vAlign w:val="center"/>
            <w:hideMark/>
          </w:tcPr>
          <w:p w:rsidR="00B96B71" w:rsidRPr="00330530" w:rsidRDefault="00B96B71" w:rsidP="00FB5E80">
            <w:pPr>
              <w:autoSpaceDE w:val="0"/>
              <w:autoSpaceDN w:val="0"/>
              <w:adjustRightInd w:val="0"/>
              <w:spacing w:before="40" w:after="40" w:line="240" w:lineRule="auto"/>
              <w:jc w:val="center"/>
              <w:rPr>
                <w:rFonts w:cs="Calibri"/>
                <w:b/>
                <w:color w:val="000000"/>
                <w:spacing w:val="0"/>
                <w:kern w:val="0"/>
                <w:lang w:eastAsia="en-US"/>
              </w:rPr>
            </w:pPr>
            <w:r w:rsidRPr="00330530">
              <w:rPr>
                <w:rFonts w:cs="Calibri"/>
                <w:b/>
                <w:color w:val="000000"/>
                <w:spacing w:val="0"/>
                <w:kern w:val="0"/>
                <w:lang w:eastAsia="en-US"/>
              </w:rPr>
              <w:t>2011</w:t>
            </w:r>
          </w:p>
        </w:tc>
        <w:tc>
          <w:tcPr>
            <w:tcW w:w="1138" w:type="dxa"/>
            <w:shd w:val="clear" w:color="auto" w:fill="FFFFFF"/>
            <w:noWrap/>
            <w:vAlign w:val="center"/>
            <w:hideMark/>
          </w:tcPr>
          <w:p w:rsidR="00B96B71" w:rsidRPr="00330530" w:rsidRDefault="00B96B71" w:rsidP="00FB5E80">
            <w:pPr>
              <w:autoSpaceDE w:val="0"/>
              <w:autoSpaceDN w:val="0"/>
              <w:adjustRightInd w:val="0"/>
              <w:spacing w:before="40" w:after="40" w:line="240" w:lineRule="auto"/>
              <w:jc w:val="center"/>
              <w:rPr>
                <w:rFonts w:cs="Calibri"/>
                <w:b/>
                <w:color w:val="000000"/>
                <w:spacing w:val="0"/>
                <w:kern w:val="0"/>
                <w:lang w:eastAsia="en-US"/>
              </w:rPr>
            </w:pPr>
            <w:r w:rsidRPr="00330530">
              <w:rPr>
                <w:rFonts w:cs="Calibri"/>
                <w:b/>
                <w:color w:val="000000"/>
                <w:spacing w:val="0"/>
                <w:kern w:val="0"/>
                <w:lang w:eastAsia="en-US"/>
              </w:rPr>
              <w:t>2010</w:t>
            </w:r>
          </w:p>
        </w:tc>
        <w:tc>
          <w:tcPr>
            <w:tcW w:w="1138" w:type="dxa"/>
            <w:shd w:val="clear" w:color="auto" w:fill="FFFFFF"/>
            <w:noWrap/>
            <w:vAlign w:val="center"/>
            <w:hideMark/>
          </w:tcPr>
          <w:p w:rsidR="00B96B71" w:rsidRPr="00330530" w:rsidRDefault="00B96B71" w:rsidP="00FB5E80">
            <w:pPr>
              <w:autoSpaceDE w:val="0"/>
              <w:autoSpaceDN w:val="0"/>
              <w:adjustRightInd w:val="0"/>
              <w:spacing w:before="40" w:after="40" w:line="240" w:lineRule="auto"/>
              <w:jc w:val="center"/>
              <w:rPr>
                <w:rFonts w:cs="Calibri"/>
                <w:b/>
                <w:color w:val="000000"/>
                <w:spacing w:val="0"/>
                <w:kern w:val="0"/>
                <w:lang w:eastAsia="en-US"/>
              </w:rPr>
            </w:pPr>
            <w:r w:rsidRPr="00330530">
              <w:rPr>
                <w:rFonts w:cs="Calibri"/>
                <w:b/>
                <w:color w:val="000000"/>
                <w:spacing w:val="0"/>
                <w:kern w:val="0"/>
                <w:lang w:eastAsia="en-US"/>
              </w:rPr>
              <w:t>2009</w:t>
            </w:r>
          </w:p>
        </w:tc>
      </w:tr>
      <w:tr w:rsidR="003C7DCE" w:rsidRPr="007775EC" w:rsidTr="002C37F9">
        <w:trPr>
          <w:trHeight w:val="360"/>
          <w:jc w:val="center"/>
        </w:trPr>
        <w:tc>
          <w:tcPr>
            <w:tcW w:w="4288" w:type="dxa"/>
            <w:shd w:val="clear" w:color="auto" w:fill="auto"/>
            <w:vAlign w:val="center"/>
            <w:hideMark/>
          </w:tcPr>
          <w:p w:rsidR="003C7DCE" w:rsidRPr="00374A23" w:rsidRDefault="003C7DCE" w:rsidP="00D24DE7">
            <w:pPr>
              <w:autoSpaceDE w:val="0"/>
              <w:autoSpaceDN w:val="0"/>
              <w:adjustRightInd w:val="0"/>
              <w:spacing w:before="40" w:after="40" w:line="240" w:lineRule="auto"/>
              <w:jc w:val="left"/>
              <w:rPr>
                <w:rStyle w:val="SubtleEmphasis"/>
              </w:rPr>
            </w:pPr>
            <w:r w:rsidRPr="00374A23">
              <w:rPr>
                <w:rStyle w:val="SubtleEmphasis"/>
              </w:rPr>
              <w:t>Bring to satisfactory standard ($’000’s)</w:t>
            </w:r>
          </w:p>
        </w:tc>
        <w:tc>
          <w:tcPr>
            <w:tcW w:w="1137"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43,102</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49,076</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33,223</w:t>
            </w:r>
          </w:p>
        </w:tc>
      </w:tr>
      <w:tr w:rsidR="003C7DCE" w:rsidRPr="007775EC" w:rsidTr="002C37F9">
        <w:trPr>
          <w:trHeight w:val="360"/>
          <w:jc w:val="center"/>
        </w:trPr>
        <w:tc>
          <w:tcPr>
            <w:tcW w:w="4288" w:type="dxa"/>
            <w:shd w:val="clear" w:color="auto" w:fill="auto"/>
            <w:vAlign w:val="center"/>
            <w:hideMark/>
          </w:tcPr>
          <w:p w:rsidR="003C7DCE" w:rsidRPr="00374A23" w:rsidRDefault="003C7DCE" w:rsidP="00D24DE7">
            <w:pPr>
              <w:autoSpaceDE w:val="0"/>
              <w:autoSpaceDN w:val="0"/>
              <w:adjustRightInd w:val="0"/>
              <w:spacing w:before="40" w:after="40" w:line="240" w:lineRule="auto"/>
              <w:jc w:val="left"/>
              <w:rPr>
                <w:rStyle w:val="SubtleEmphasis"/>
              </w:rPr>
            </w:pPr>
            <w:r w:rsidRPr="00374A23">
              <w:rPr>
                <w:rStyle w:val="SubtleEmphasis"/>
              </w:rPr>
              <w:t>Required annual maintenance ($’000’s)</w:t>
            </w:r>
          </w:p>
        </w:tc>
        <w:tc>
          <w:tcPr>
            <w:tcW w:w="1137"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24,007</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24,210</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23,463</w:t>
            </w:r>
          </w:p>
        </w:tc>
      </w:tr>
      <w:tr w:rsidR="003C7DCE" w:rsidRPr="007775EC" w:rsidTr="002C37F9">
        <w:trPr>
          <w:trHeight w:val="360"/>
          <w:jc w:val="center"/>
        </w:trPr>
        <w:tc>
          <w:tcPr>
            <w:tcW w:w="4288" w:type="dxa"/>
            <w:shd w:val="clear" w:color="auto" w:fill="auto"/>
            <w:vAlign w:val="center"/>
            <w:hideMark/>
          </w:tcPr>
          <w:p w:rsidR="003C7DCE" w:rsidRPr="00374A23" w:rsidRDefault="003C7DCE" w:rsidP="00FB5E80">
            <w:pPr>
              <w:autoSpaceDE w:val="0"/>
              <w:autoSpaceDN w:val="0"/>
              <w:adjustRightInd w:val="0"/>
              <w:spacing w:before="40" w:after="40" w:line="240" w:lineRule="auto"/>
              <w:jc w:val="left"/>
              <w:rPr>
                <w:rStyle w:val="SubtleEmphasis"/>
              </w:rPr>
            </w:pPr>
            <w:r w:rsidRPr="00374A23">
              <w:rPr>
                <w:rStyle w:val="SubtleEmphasis"/>
              </w:rPr>
              <w:t>Actual annual maintenance ($’000’s)</w:t>
            </w:r>
          </w:p>
        </w:tc>
        <w:tc>
          <w:tcPr>
            <w:tcW w:w="1137"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16,756</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16,520</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17,431</w:t>
            </w:r>
          </w:p>
        </w:tc>
      </w:tr>
      <w:tr w:rsidR="003C7DCE" w:rsidRPr="007775EC" w:rsidTr="002C37F9">
        <w:trPr>
          <w:trHeight w:val="360"/>
          <w:jc w:val="center"/>
        </w:trPr>
        <w:tc>
          <w:tcPr>
            <w:tcW w:w="4288" w:type="dxa"/>
            <w:shd w:val="clear" w:color="auto" w:fill="auto"/>
            <w:vAlign w:val="center"/>
            <w:hideMark/>
          </w:tcPr>
          <w:p w:rsidR="003C7DCE" w:rsidRPr="00374A23" w:rsidRDefault="003C7DCE" w:rsidP="00D24DE7">
            <w:pPr>
              <w:autoSpaceDE w:val="0"/>
              <w:autoSpaceDN w:val="0"/>
              <w:adjustRightInd w:val="0"/>
              <w:spacing w:before="40" w:after="40" w:line="240" w:lineRule="auto"/>
              <w:jc w:val="left"/>
              <w:rPr>
                <w:rStyle w:val="SubtleEmphasis"/>
              </w:rPr>
            </w:pPr>
            <w:r w:rsidRPr="00374A23">
              <w:rPr>
                <w:rStyle w:val="SubtleEmphasis"/>
              </w:rPr>
              <w:t>Total value of infrastructure assets ($’000’s)</w:t>
            </w:r>
          </w:p>
        </w:tc>
        <w:tc>
          <w:tcPr>
            <w:tcW w:w="1137"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1,872,723</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1,616,833</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1,437,792</w:t>
            </w:r>
          </w:p>
        </w:tc>
      </w:tr>
      <w:tr w:rsidR="003C7DCE" w:rsidRPr="007775EC" w:rsidTr="002C37F9">
        <w:trPr>
          <w:trHeight w:val="360"/>
          <w:jc w:val="center"/>
        </w:trPr>
        <w:tc>
          <w:tcPr>
            <w:tcW w:w="4288" w:type="dxa"/>
            <w:shd w:val="clear" w:color="auto" w:fill="auto"/>
            <w:noWrap/>
            <w:vAlign w:val="center"/>
            <w:hideMark/>
          </w:tcPr>
          <w:p w:rsidR="003C7DCE" w:rsidRPr="00374A23" w:rsidRDefault="003C7DCE" w:rsidP="00D24DE7">
            <w:pPr>
              <w:autoSpaceDE w:val="0"/>
              <w:autoSpaceDN w:val="0"/>
              <w:adjustRightInd w:val="0"/>
              <w:spacing w:before="40" w:after="40" w:line="240" w:lineRule="auto"/>
              <w:jc w:val="left"/>
              <w:rPr>
                <w:rStyle w:val="SubtleEmphasis"/>
              </w:rPr>
            </w:pPr>
            <w:r w:rsidRPr="00374A23">
              <w:rPr>
                <w:rStyle w:val="SubtleEmphasis"/>
              </w:rPr>
              <w:t>Total assets ($’000’s)</w:t>
            </w:r>
          </w:p>
        </w:tc>
        <w:tc>
          <w:tcPr>
            <w:tcW w:w="1137"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2,400,</w:t>
            </w:r>
            <w:r w:rsidR="005F5BF6">
              <w:rPr>
                <w:color w:val="000000"/>
                <w:spacing w:val="0"/>
                <w:kern w:val="0"/>
              </w:rPr>
              <w:t>298</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2,229,746</w:t>
            </w:r>
          </w:p>
        </w:tc>
        <w:tc>
          <w:tcPr>
            <w:tcW w:w="1138" w:type="dxa"/>
            <w:shd w:val="clear" w:color="auto" w:fill="auto"/>
            <w:noWrap/>
            <w:vAlign w:val="center"/>
            <w:hideMark/>
          </w:tcPr>
          <w:p w:rsidR="003C7DCE" w:rsidRPr="00E640DC" w:rsidRDefault="003C7DCE" w:rsidP="003C7DCE">
            <w:pPr>
              <w:spacing w:before="0" w:after="0" w:line="240" w:lineRule="auto"/>
              <w:jc w:val="center"/>
              <w:rPr>
                <w:color w:val="000000"/>
                <w:spacing w:val="0"/>
                <w:kern w:val="0"/>
              </w:rPr>
            </w:pPr>
            <w:r w:rsidRPr="00E640DC">
              <w:rPr>
                <w:color w:val="000000"/>
                <w:spacing w:val="0"/>
                <w:kern w:val="0"/>
              </w:rPr>
              <w:t>1,856,829</w:t>
            </w:r>
          </w:p>
        </w:tc>
      </w:tr>
      <w:tr w:rsidR="003C7DCE" w:rsidRPr="007775EC" w:rsidTr="002C37F9">
        <w:trPr>
          <w:trHeight w:val="360"/>
          <w:jc w:val="center"/>
        </w:trPr>
        <w:tc>
          <w:tcPr>
            <w:tcW w:w="4288" w:type="dxa"/>
            <w:shd w:val="clear" w:color="auto" w:fill="auto"/>
            <w:noWrap/>
            <w:vAlign w:val="center"/>
            <w:hideMark/>
          </w:tcPr>
          <w:p w:rsidR="003C7DCE" w:rsidRPr="002C37F9" w:rsidRDefault="00AC0F4A" w:rsidP="00FB5E80">
            <w:pPr>
              <w:autoSpaceDE w:val="0"/>
              <w:autoSpaceDN w:val="0"/>
              <w:adjustRightInd w:val="0"/>
              <w:spacing w:before="40" w:after="40" w:line="240" w:lineRule="auto"/>
              <w:jc w:val="left"/>
              <w:rPr>
                <w:rStyle w:val="SubtleEmphasis"/>
              </w:rPr>
            </w:pPr>
            <w:r>
              <w:rPr>
                <w:rStyle w:val="SubtleEmphasis"/>
              </w:rPr>
              <w:t xml:space="preserve">Building and </w:t>
            </w:r>
            <w:r w:rsidR="003C7DCE" w:rsidRPr="002C37F9">
              <w:rPr>
                <w:rStyle w:val="SubtleEmphasis"/>
              </w:rPr>
              <w:t>Infrastructure Backlog Ratio</w:t>
            </w:r>
          </w:p>
        </w:tc>
        <w:tc>
          <w:tcPr>
            <w:tcW w:w="1137"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0.02x</w:t>
            </w:r>
          </w:p>
        </w:tc>
        <w:tc>
          <w:tcPr>
            <w:tcW w:w="1138"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0.03x</w:t>
            </w:r>
          </w:p>
        </w:tc>
        <w:tc>
          <w:tcPr>
            <w:tcW w:w="1138"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0.02x</w:t>
            </w:r>
          </w:p>
        </w:tc>
      </w:tr>
      <w:tr w:rsidR="003C7DCE" w:rsidRPr="007775EC" w:rsidTr="002C37F9">
        <w:trPr>
          <w:trHeight w:val="360"/>
          <w:jc w:val="center"/>
        </w:trPr>
        <w:tc>
          <w:tcPr>
            <w:tcW w:w="4288" w:type="dxa"/>
            <w:shd w:val="clear" w:color="auto" w:fill="auto"/>
            <w:vAlign w:val="center"/>
            <w:hideMark/>
          </w:tcPr>
          <w:p w:rsidR="003C7DCE" w:rsidRPr="002C37F9" w:rsidRDefault="003C7DCE" w:rsidP="00FB5E80">
            <w:pPr>
              <w:autoSpaceDE w:val="0"/>
              <w:autoSpaceDN w:val="0"/>
              <w:adjustRightInd w:val="0"/>
              <w:spacing w:before="40" w:after="40" w:line="240" w:lineRule="auto"/>
              <w:jc w:val="left"/>
              <w:rPr>
                <w:rStyle w:val="SubtleEmphasis"/>
              </w:rPr>
            </w:pPr>
            <w:r w:rsidRPr="002C37F9">
              <w:rPr>
                <w:rStyle w:val="SubtleEmphasis"/>
              </w:rPr>
              <w:t>Asset Maintenance Ratio</w:t>
            </w:r>
          </w:p>
        </w:tc>
        <w:tc>
          <w:tcPr>
            <w:tcW w:w="1137"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0.70x</w:t>
            </w:r>
          </w:p>
        </w:tc>
        <w:tc>
          <w:tcPr>
            <w:tcW w:w="1138"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0.68x</w:t>
            </w:r>
          </w:p>
        </w:tc>
        <w:tc>
          <w:tcPr>
            <w:tcW w:w="1138"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0.74x</w:t>
            </w:r>
          </w:p>
        </w:tc>
      </w:tr>
      <w:tr w:rsidR="003C7DCE" w:rsidRPr="007775EC" w:rsidTr="002C37F9">
        <w:trPr>
          <w:trHeight w:val="360"/>
          <w:jc w:val="center"/>
        </w:trPr>
        <w:tc>
          <w:tcPr>
            <w:tcW w:w="4288" w:type="dxa"/>
            <w:shd w:val="clear" w:color="auto" w:fill="auto"/>
            <w:vAlign w:val="center"/>
            <w:hideMark/>
          </w:tcPr>
          <w:p w:rsidR="003C7DCE" w:rsidRPr="002C37F9" w:rsidRDefault="003C7DCE" w:rsidP="00FB5E80">
            <w:pPr>
              <w:autoSpaceDE w:val="0"/>
              <w:autoSpaceDN w:val="0"/>
              <w:adjustRightInd w:val="0"/>
              <w:spacing w:before="40" w:after="40" w:line="240" w:lineRule="auto"/>
              <w:jc w:val="left"/>
              <w:rPr>
                <w:rStyle w:val="SubtleEmphasis"/>
              </w:rPr>
            </w:pPr>
            <w:r w:rsidRPr="002C37F9">
              <w:rPr>
                <w:rStyle w:val="SubtleEmphasis"/>
              </w:rPr>
              <w:t>Building and Infrastructure Renewals Ratio</w:t>
            </w:r>
          </w:p>
        </w:tc>
        <w:tc>
          <w:tcPr>
            <w:tcW w:w="1137"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0.23x</w:t>
            </w:r>
          </w:p>
        </w:tc>
        <w:tc>
          <w:tcPr>
            <w:tcW w:w="1138"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0.42x</w:t>
            </w:r>
          </w:p>
        </w:tc>
        <w:tc>
          <w:tcPr>
            <w:tcW w:w="1138" w:type="dxa"/>
            <w:shd w:val="clear" w:color="auto" w:fill="auto"/>
            <w:noWrap/>
            <w:vAlign w:val="center"/>
            <w:hideMark/>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0.61x</w:t>
            </w:r>
          </w:p>
        </w:tc>
      </w:tr>
      <w:tr w:rsidR="003C7DCE" w:rsidRPr="007775EC" w:rsidTr="002C37F9">
        <w:trPr>
          <w:trHeight w:val="360"/>
          <w:jc w:val="center"/>
        </w:trPr>
        <w:tc>
          <w:tcPr>
            <w:tcW w:w="4288" w:type="dxa"/>
            <w:shd w:val="clear" w:color="auto" w:fill="auto"/>
            <w:vAlign w:val="center"/>
          </w:tcPr>
          <w:p w:rsidR="003C7DCE" w:rsidRPr="002C37F9" w:rsidRDefault="003C7DCE" w:rsidP="00FB5E80">
            <w:pPr>
              <w:autoSpaceDE w:val="0"/>
              <w:autoSpaceDN w:val="0"/>
              <w:adjustRightInd w:val="0"/>
              <w:spacing w:before="40" w:after="40" w:line="240" w:lineRule="auto"/>
              <w:jc w:val="left"/>
              <w:rPr>
                <w:rStyle w:val="SubtleEmphasis"/>
              </w:rPr>
            </w:pPr>
            <w:r w:rsidRPr="002C37F9">
              <w:rPr>
                <w:rStyle w:val="SubtleEmphasis"/>
              </w:rPr>
              <w:t>Capital Expenditure Ratio</w:t>
            </w:r>
          </w:p>
        </w:tc>
        <w:tc>
          <w:tcPr>
            <w:tcW w:w="1137" w:type="dxa"/>
            <w:shd w:val="clear" w:color="auto" w:fill="auto"/>
            <w:noWrap/>
            <w:vAlign w:val="center"/>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0.97x</w:t>
            </w:r>
          </w:p>
        </w:tc>
        <w:tc>
          <w:tcPr>
            <w:tcW w:w="1138" w:type="dxa"/>
            <w:shd w:val="clear" w:color="auto" w:fill="auto"/>
            <w:noWrap/>
            <w:vAlign w:val="center"/>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1.47x</w:t>
            </w:r>
          </w:p>
        </w:tc>
        <w:tc>
          <w:tcPr>
            <w:tcW w:w="1138" w:type="dxa"/>
            <w:shd w:val="clear" w:color="auto" w:fill="auto"/>
            <w:noWrap/>
            <w:vAlign w:val="center"/>
          </w:tcPr>
          <w:p w:rsidR="003C7DCE" w:rsidRPr="003C7DCE" w:rsidRDefault="003C7DCE" w:rsidP="003C7DCE">
            <w:pPr>
              <w:spacing w:before="0" w:after="0" w:line="240" w:lineRule="auto"/>
              <w:jc w:val="center"/>
              <w:rPr>
                <w:color w:val="000000"/>
                <w:spacing w:val="0"/>
                <w:kern w:val="0"/>
              </w:rPr>
            </w:pPr>
            <w:r w:rsidRPr="003C7DCE">
              <w:rPr>
                <w:color w:val="000000"/>
                <w:spacing w:val="0"/>
                <w:kern w:val="0"/>
              </w:rPr>
              <w:t>1.52x</w:t>
            </w:r>
          </w:p>
        </w:tc>
      </w:tr>
    </w:tbl>
    <w:p w:rsidR="003C7DCE" w:rsidRPr="00F06927" w:rsidRDefault="003C7DCE" w:rsidP="003C7DCE">
      <w:pPr>
        <w:pStyle w:val="Heading3"/>
        <w:rPr>
          <w:color w:val="000000" w:themeColor="text1"/>
          <w:u w:val="none"/>
        </w:rPr>
      </w:pPr>
      <w:r w:rsidRPr="003C7DCE">
        <w:rPr>
          <w:u w:val="none"/>
        </w:rPr>
        <w:t xml:space="preserve">The Council has a maintenance shortfall of around $7m each year which can </w:t>
      </w:r>
      <w:r w:rsidR="000721C4">
        <w:rPr>
          <w:u w:val="none"/>
        </w:rPr>
        <w:t xml:space="preserve">impact on the condition </w:t>
      </w:r>
      <w:r w:rsidR="00435FEA">
        <w:rPr>
          <w:u w:val="none"/>
        </w:rPr>
        <w:t xml:space="preserve">of </w:t>
      </w:r>
      <w:r w:rsidR="00435FEA" w:rsidRPr="003C7DCE">
        <w:rPr>
          <w:u w:val="none"/>
        </w:rPr>
        <w:t>the</w:t>
      </w:r>
      <w:r w:rsidRPr="003C7DCE">
        <w:rPr>
          <w:u w:val="none"/>
        </w:rPr>
        <w:t xml:space="preserve"> infrastructures.  This is reflected in an Asset Maintenance Ratio of </w:t>
      </w:r>
      <w:r w:rsidRPr="00F06927">
        <w:rPr>
          <w:color w:val="000000" w:themeColor="text1"/>
          <w:u w:val="none"/>
        </w:rPr>
        <w:t>below 1.0x in all three years.</w:t>
      </w:r>
    </w:p>
    <w:p w:rsidR="003C7DCE" w:rsidRPr="00F06927" w:rsidRDefault="003C7DCE" w:rsidP="003C7DCE">
      <w:pPr>
        <w:pStyle w:val="Heading3"/>
        <w:rPr>
          <w:color w:val="000000" w:themeColor="text1"/>
          <w:u w:val="none"/>
        </w:rPr>
      </w:pPr>
      <w:r w:rsidRPr="00F06927">
        <w:rPr>
          <w:color w:val="000000" w:themeColor="text1"/>
          <w:u w:val="none"/>
        </w:rPr>
        <w:t>The challenge for the Council is to resolve the backlog at a faster rate than their deterioration and to maintain the existing assets at an adequate standard.</w:t>
      </w:r>
    </w:p>
    <w:p w:rsidR="003C7DCE" w:rsidRPr="00F06927" w:rsidRDefault="003C7DCE" w:rsidP="003C7DCE">
      <w:pPr>
        <w:pStyle w:val="Heading3"/>
        <w:rPr>
          <w:color w:val="000000" w:themeColor="text1"/>
          <w:u w:val="none"/>
        </w:rPr>
      </w:pPr>
      <w:r w:rsidRPr="00F06927">
        <w:rPr>
          <w:color w:val="000000" w:themeColor="text1"/>
          <w:u w:val="none"/>
        </w:rPr>
        <w:t xml:space="preserve">Asset renewal spending decreased by nearly 40% ($5.5m) over the last three years reflecting the fact that </w:t>
      </w:r>
      <w:r w:rsidR="00D91AE9" w:rsidRPr="00F06927">
        <w:rPr>
          <w:color w:val="000000" w:themeColor="text1"/>
          <w:u w:val="none"/>
        </w:rPr>
        <w:t>the backlog has been addressed mainly through major upgrade projects as oppose to asset renewal spending which only capture spending on existing assets to bring it to an equivalent capacity or performance.  The Council’s newer assets may also require</w:t>
      </w:r>
      <w:r w:rsidR="000721C4">
        <w:rPr>
          <w:color w:val="000000" w:themeColor="text1"/>
          <w:u w:val="none"/>
        </w:rPr>
        <w:t xml:space="preserve"> a</w:t>
      </w:r>
      <w:r w:rsidR="00D91AE9" w:rsidRPr="00F06927">
        <w:rPr>
          <w:color w:val="000000" w:themeColor="text1"/>
          <w:u w:val="none"/>
        </w:rPr>
        <w:t xml:space="preserve"> lower cost of maintenance in earlier years but continues to be depreciated on a straight line basis.</w:t>
      </w:r>
    </w:p>
    <w:p w:rsidR="00B96B71" w:rsidRDefault="003C7DCE" w:rsidP="003C7DCE">
      <w:pPr>
        <w:pStyle w:val="Heading3"/>
        <w:rPr>
          <w:u w:val="none"/>
        </w:rPr>
      </w:pPr>
      <w:r w:rsidRPr="003C7DCE">
        <w:rPr>
          <w:u w:val="none"/>
        </w:rPr>
        <w:lastRenderedPageBreak/>
        <w:t>When compared to depreciation, the Council’s Building and Infrastructure Renewal Ratio and Capital Expenditure Ratio are deteriorating year on year.  This is partly due to the significant increase in depreciation expense.  Particularly in 2010, the Asset Revaluation process resulted in a 55% ($13.2m) increase in building and infrastr</w:t>
      </w:r>
      <w:r w:rsidR="00010CA2">
        <w:rPr>
          <w:u w:val="none"/>
        </w:rPr>
        <w:t>ucture depreciation from 2009.</w:t>
      </w:r>
    </w:p>
    <w:p w:rsidR="00B96B71" w:rsidRPr="00893E42" w:rsidRDefault="00B96B71" w:rsidP="00893E42">
      <w:pPr>
        <w:pStyle w:val="Heading2"/>
        <w:spacing w:before="220" w:after="220" w:line="280" w:lineRule="exact"/>
      </w:pPr>
      <w:r w:rsidRPr="00893E42">
        <w:t>3.6(c):</w:t>
      </w:r>
      <w:r>
        <w:tab/>
      </w:r>
      <w:r w:rsidRPr="00893E42">
        <w:t>Capital Program</w:t>
      </w:r>
    </w:p>
    <w:p w:rsidR="00D24DE7" w:rsidRPr="00893E42" w:rsidRDefault="00D24DE7" w:rsidP="00893E42">
      <w:pPr>
        <w:pStyle w:val="Heading3"/>
        <w:rPr>
          <w:u w:val="none"/>
        </w:rPr>
      </w:pPr>
      <w:r w:rsidRPr="00893E42">
        <w:rPr>
          <w:u w:val="none"/>
        </w:rPr>
        <w:t>The following figures are sourced from the Council’s Annual Financial Statements at Special Schedule No. 8 and are not audited.  New capital works a</w:t>
      </w:r>
      <w:r w:rsidR="00224928">
        <w:rPr>
          <w:u w:val="none"/>
        </w:rPr>
        <w:t>re major non-recurrent projects.</w:t>
      </w:r>
    </w:p>
    <w:tbl>
      <w:tblPr>
        <w:tblW w:w="7701" w:type="dxa"/>
        <w:jc w:val="center"/>
        <w:tblInd w:w="-1422" w:type="dxa"/>
        <w:tblLayout w:type="fixed"/>
        <w:tblLook w:val="04A0" w:firstRow="1" w:lastRow="0" w:firstColumn="1" w:lastColumn="0" w:noHBand="0" w:noVBand="1"/>
      </w:tblPr>
      <w:tblGrid>
        <w:gridCol w:w="4288"/>
        <w:gridCol w:w="1137"/>
        <w:gridCol w:w="1138"/>
        <w:gridCol w:w="1138"/>
      </w:tblGrid>
      <w:tr w:rsidR="00B96B71" w:rsidRPr="007775EC" w:rsidTr="00FB5E80">
        <w:trPr>
          <w:trHeight w:val="315"/>
          <w:jc w:val="center"/>
        </w:trPr>
        <w:tc>
          <w:tcPr>
            <w:tcW w:w="4288" w:type="dxa"/>
            <w:tcBorders>
              <w:top w:val="single" w:sz="4" w:space="0" w:color="auto"/>
              <w:left w:val="single" w:sz="4" w:space="0" w:color="auto"/>
              <w:bottom w:val="single" w:sz="4" w:space="0" w:color="auto"/>
              <w:right w:val="single" w:sz="4" w:space="0" w:color="auto"/>
            </w:tcBorders>
            <w:shd w:val="clear" w:color="auto" w:fill="BACFF8"/>
            <w:noWrap/>
            <w:vAlign w:val="center"/>
            <w:hideMark/>
          </w:tcPr>
          <w:p w:rsidR="00B96B71" w:rsidRPr="00374A23" w:rsidRDefault="00B96B71" w:rsidP="00D24DE7">
            <w:pPr>
              <w:autoSpaceDE w:val="0"/>
              <w:autoSpaceDN w:val="0"/>
              <w:adjustRightInd w:val="0"/>
              <w:spacing w:before="40" w:after="40" w:line="240" w:lineRule="auto"/>
              <w:jc w:val="left"/>
              <w:rPr>
                <w:rStyle w:val="Emphasis"/>
              </w:rPr>
            </w:pPr>
            <w:r w:rsidRPr="00374A23">
              <w:rPr>
                <w:rStyle w:val="Emphasis"/>
              </w:rPr>
              <w:t>Capital Program ($’000</w:t>
            </w:r>
            <w:r w:rsidR="00486FD4" w:rsidRPr="00374A23">
              <w:rPr>
                <w:rStyle w:val="Emphasis"/>
              </w:rPr>
              <w:t>’s</w:t>
            </w:r>
            <w:r w:rsidRPr="00374A23">
              <w:rPr>
                <w:rStyle w:val="Emphasis"/>
              </w:rPr>
              <w:t>)</w:t>
            </w:r>
          </w:p>
        </w:tc>
        <w:tc>
          <w:tcPr>
            <w:tcW w:w="3413" w:type="dxa"/>
            <w:gridSpan w:val="3"/>
            <w:tcBorders>
              <w:top w:val="single" w:sz="4" w:space="0" w:color="auto"/>
              <w:left w:val="single" w:sz="4" w:space="0" w:color="auto"/>
              <w:bottom w:val="single" w:sz="4" w:space="0" w:color="auto"/>
              <w:right w:val="single" w:sz="4" w:space="0" w:color="auto"/>
            </w:tcBorders>
            <w:shd w:val="clear" w:color="auto" w:fill="BACFF8"/>
            <w:noWrap/>
            <w:vAlign w:val="center"/>
            <w:hideMark/>
          </w:tcPr>
          <w:p w:rsidR="00B96B71" w:rsidRPr="00374A23" w:rsidRDefault="00B96B71" w:rsidP="00FB5E80">
            <w:pPr>
              <w:autoSpaceDE w:val="0"/>
              <w:autoSpaceDN w:val="0"/>
              <w:adjustRightInd w:val="0"/>
              <w:spacing w:before="40" w:after="40" w:line="240" w:lineRule="auto"/>
              <w:jc w:val="center"/>
              <w:rPr>
                <w:rStyle w:val="IntenseEmphasis"/>
              </w:rPr>
            </w:pPr>
            <w:r w:rsidRPr="00374A23">
              <w:rPr>
                <w:rStyle w:val="IntenseEmphasis"/>
              </w:rPr>
              <w:t>Year ended 30 June</w:t>
            </w:r>
          </w:p>
        </w:tc>
      </w:tr>
      <w:tr w:rsidR="00B96B71" w:rsidRPr="007775EC" w:rsidTr="00FB5E80">
        <w:trPr>
          <w:trHeight w:val="315"/>
          <w:jc w:val="center"/>
        </w:trPr>
        <w:tc>
          <w:tcPr>
            <w:tcW w:w="4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96B71" w:rsidRPr="00330530" w:rsidRDefault="00B96B71" w:rsidP="00FB5E80">
            <w:pPr>
              <w:autoSpaceDE w:val="0"/>
              <w:autoSpaceDN w:val="0"/>
              <w:adjustRightInd w:val="0"/>
              <w:spacing w:before="40" w:after="40" w:line="240" w:lineRule="auto"/>
              <w:jc w:val="left"/>
              <w:rPr>
                <w:rFonts w:cs="Calibri"/>
                <w:b/>
                <w:color w:val="000000"/>
                <w:spacing w:val="0"/>
                <w:kern w:val="0"/>
                <w:lang w:eastAsia="en-US"/>
              </w:rPr>
            </w:pPr>
            <w:r w:rsidRPr="00330530">
              <w:rPr>
                <w:rFonts w:cs="Calibri"/>
                <w:b/>
                <w:color w:val="000000"/>
                <w:spacing w:val="0"/>
                <w:kern w:val="0"/>
                <w:lang w:eastAsia="en-US"/>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96B71" w:rsidRPr="00374A23" w:rsidRDefault="00B96B71" w:rsidP="00FB5E80">
            <w:pPr>
              <w:autoSpaceDE w:val="0"/>
              <w:autoSpaceDN w:val="0"/>
              <w:adjustRightInd w:val="0"/>
              <w:spacing w:before="40" w:after="40" w:line="240" w:lineRule="auto"/>
              <w:jc w:val="center"/>
              <w:rPr>
                <w:rStyle w:val="IntenseEmphasis"/>
              </w:rPr>
            </w:pPr>
            <w:r w:rsidRPr="00374A23">
              <w:rPr>
                <w:rStyle w:val="IntenseEmphasis"/>
              </w:rPr>
              <w:t>2011</w:t>
            </w:r>
          </w:p>
        </w:tc>
        <w:tc>
          <w:tcPr>
            <w:tcW w:w="11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96B71" w:rsidRPr="00374A23" w:rsidRDefault="00B96B71" w:rsidP="00FB5E80">
            <w:pPr>
              <w:autoSpaceDE w:val="0"/>
              <w:autoSpaceDN w:val="0"/>
              <w:adjustRightInd w:val="0"/>
              <w:spacing w:before="40" w:after="40" w:line="240" w:lineRule="auto"/>
              <w:jc w:val="center"/>
              <w:rPr>
                <w:rStyle w:val="IntenseEmphasis"/>
              </w:rPr>
            </w:pPr>
            <w:r w:rsidRPr="00374A23">
              <w:rPr>
                <w:rStyle w:val="IntenseEmphasis"/>
              </w:rPr>
              <w:t>2010</w:t>
            </w:r>
          </w:p>
        </w:tc>
        <w:tc>
          <w:tcPr>
            <w:tcW w:w="11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96B71" w:rsidRPr="00374A23" w:rsidRDefault="00B96B71" w:rsidP="00FB5E80">
            <w:pPr>
              <w:autoSpaceDE w:val="0"/>
              <w:autoSpaceDN w:val="0"/>
              <w:adjustRightInd w:val="0"/>
              <w:spacing w:before="40" w:after="40" w:line="240" w:lineRule="auto"/>
              <w:jc w:val="center"/>
              <w:rPr>
                <w:rStyle w:val="IntenseEmphasis"/>
              </w:rPr>
            </w:pPr>
            <w:r w:rsidRPr="00374A23">
              <w:rPr>
                <w:rStyle w:val="IntenseEmphasis"/>
              </w:rPr>
              <w:t>2009</w:t>
            </w:r>
          </w:p>
        </w:tc>
      </w:tr>
      <w:tr w:rsidR="005F5BF6" w:rsidRPr="007775EC" w:rsidTr="005F5BF6">
        <w:trPr>
          <w:trHeight w:val="300"/>
          <w:jc w:val="center"/>
        </w:trPr>
        <w:tc>
          <w:tcPr>
            <w:tcW w:w="4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F6" w:rsidRPr="00374A23" w:rsidRDefault="005F5BF6" w:rsidP="00FB5E80">
            <w:pPr>
              <w:autoSpaceDE w:val="0"/>
              <w:autoSpaceDN w:val="0"/>
              <w:adjustRightInd w:val="0"/>
              <w:spacing w:before="40" w:after="40" w:line="240" w:lineRule="auto"/>
              <w:jc w:val="left"/>
              <w:rPr>
                <w:rStyle w:val="SubtleEmphasis"/>
              </w:rPr>
            </w:pPr>
            <w:r w:rsidRPr="00374A23">
              <w:rPr>
                <w:rStyle w:val="SubtleEmphasis"/>
              </w:rPr>
              <w:t>New capital works</w:t>
            </w:r>
          </w:p>
        </w:tc>
        <w:tc>
          <w:tcPr>
            <w:tcW w:w="1137" w:type="dxa"/>
            <w:tcBorders>
              <w:top w:val="single" w:sz="4" w:space="0" w:color="auto"/>
              <w:left w:val="nil"/>
              <w:bottom w:val="single" w:sz="4" w:space="0" w:color="auto"/>
              <w:right w:val="single" w:sz="4" w:space="0" w:color="auto"/>
            </w:tcBorders>
            <w:shd w:val="clear" w:color="auto" w:fill="auto"/>
            <w:noWrap/>
            <w:hideMark/>
          </w:tcPr>
          <w:p w:rsidR="005F5BF6" w:rsidRPr="005F5BF6" w:rsidRDefault="007E13A0" w:rsidP="005F5BF6">
            <w:pPr>
              <w:spacing w:before="0" w:after="0" w:line="240" w:lineRule="auto"/>
              <w:jc w:val="center"/>
              <w:rPr>
                <w:color w:val="000000"/>
                <w:spacing w:val="0"/>
                <w:kern w:val="0"/>
              </w:rPr>
            </w:pPr>
            <w:r>
              <w:rPr>
                <w:color w:val="000000"/>
                <w:spacing w:val="0"/>
                <w:kern w:val="0"/>
              </w:rPr>
              <w:t>49,508</w:t>
            </w:r>
          </w:p>
        </w:tc>
        <w:tc>
          <w:tcPr>
            <w:tcW w:w="1138" w:type="dxa"/>
            <w:tcBorders>
              <w:top w:val="single" w:sz="4" w:space="0" w:color="auto"/>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37,000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30,000</w:t>
            </w:r>
          </w:p>
        </w:tc>
      </w:tr>
      <w:tr w:rsidR="005F5BF6" w:rsidRPr="007775EC" w:rsidTr="005F5BF6">
        <w:trPr>
          <w:trHeight w:val="303"/>
          <w:jc w:val="center"/>
        </w:trPr>
        <w:tc>
          <w:tcPr>
            <w:tcW w:w="4288" w:type="dxa"/>
            <w:tcBorders>
              <w:top w:val="nil"/>
              <w:left w:val="single" w:sz="4" w:space="0" w:color="auto"/>
              <w:bottom w:val="single" w:sz="4" w:space="0" w:color="auto"/>
              <w:right w:val="single" w:sz="4" w:space="0" w:color="auto"/>
            </w:tcBorders>
            <w:shd w:val="clear" w:color="auto" w:fill="auto"/>
            <w:vAlign w:val="center"/>
            <w:hideMark/>
          </w:tcPr>
          <w:p w:rsidR="005F5BF6" w:rsidRPr="00374A23" w:rsidRDefault="005F5BF6" w:rsidP="00FB5E80">
            <w:pPr>
              <w:autoSpaceDE w:val="0"/>
              <w:autoSpaceDN w:val="0"/>
              <w:adjustRightInd w:val="0"/>
              <w:spacing w:before="40" w:after="40" w:line="240" w:lineRule="auto"/>
              <w:jc w:val="left"/>
              <w:rPr>
                <w:rStyle w:val="SubtleEmphasis"/>
              </w:rPr>
            </w:pPr>
            <w:r w:rsidRPr="00374A23">
              <w:rPr>
                <w:rStyle w:val="SubtleEmphasis"/>
              </w:rPr>
              <w:t>Replacement/refurbishment of existing assets</w:t>
            </w:r>
          </w:p>
        </w:tc>
        <w:tc>
          <w:tcPr>
            <w:tcW w:w="1137" w:type="dxa"/>
            <w:tcBorders>
              <w:top w:val="nil"/>
              <w:left w:val="nil"/>
              <w:bottom w:val="single" w:sz="4" w:space="0" w:color="auto"/>
              <w:right w:val="single" w:sz="4" w:space="0" w:color="auto"/>
            </w:tcBorders>
            <w:shd w:val="clear" w:color="auto" w:fill="auto"/>
            <w:noWrap/>
            <w:hideMark/>
          </w:tcPr>
          <w:p w:rsidR="005F5BF6" w:rsidRPr="005F5BF6" w:rsidRDefault="007E13A0" w:rsidP="005F5BF6">
            <w:pPr>
              <w:spacing w:before="0" w:after="0" w:line="240" w:lineRule="auto"/>
              <w:jc w:val="center"/>
              <w:rPr>
                <w:color w:val="000000"/>
                <w:spacing w:val="0"/>
                <w:kern w:val="0"/>
              </w:rPr>
            </w:pPr>
            <w:r>
              <w:rPr>
                <w:color w:val="000000"/>
                <w:spacing w:val="0"/>
                <w:kern w:val="0"/>
              </w:rPr>
              <w:t>8,542</w:t>
            </w:r>
          </w:p>
        </w:tc>
        <w:tc>
          <w:tcPr>
            <w:tcW w:w="1138"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10,000</w:t>
            </w:r>
          </w:p>
        </w:tc>
        <w:tc>
          <w:tcPr>
            <w:tcW w:w="1138"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14,000</w:t>
            </w:r>
          </w:p>
        </w:tc>
      </w:tr>
      <w:tr w:rsidR="005F5BF6" w:rsidRPr="007775EC" w:rsidTr="005F5BF6">
        <w:trPr>
          <w:trHeight w:val="303"/>
          <w:jc w:val="center"/>
        </w:trPr>
        <w:tc>
          <w:tcPr>
            <w:tcW w:w="4288" w:type="dxa"/>
            <w:tcBorders>
              <w:top w:val="nil"/>
              <w:left w:val="single" w:sz="4" w:space="0" w:color="auto"/>
              <w:bottom w:val="single" w:sz="4" w:space="0" w:color="auto"/>
              <w:right w:val="single" w:sz="4" w:space="0" w:color="auto"/>
            </w:tcBorders>
            <w:shd w:val="clear" w:color="auto" w:fill="auto"/>
            <w:vAlign w:val="center"/>
            <w:hideMark/>
          </w:tcPr>
          <w:p w:rsidR="005F5BF6" w:rsidRPr="00893E42" w:rsidRDefault="005F5BF6" w:rsidP="00FB5E80">
            <w:pPr>
              <w:autoSpaceDE w:val="0"/>
              <w:autoSpaceDN w:val="0"/>
              <w:adjustRightInd w:val="0"/>
              <w:spacing w:before="40" w:after="40" w:line="240" w:lineRule="auto"/>
              <w:jc w:val="left"/>
              <w:rPr>
                <w:rStyle w:val="SubtleEmphasis"/>
                <w:b/>
              </w:rPr>
            </w:pPr>
            <w:r w:rsidRPr="00893E42">
              <w:rPr>
                <w:rStyle w:val="SubtleEmphasis"/>
                <w:b/>
              </w:rPr>
              <w:t>Total</w:t>
            </w:r>
          </w:p>
        </w:tc>
        <w:tc>
          <w:tcPr>
            <w:tcW w:w="1137"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58,050</w:t>
            </w:r>
          </w:p>
        </w:tc>
        <w:tc>
          <w:tcPr>
            <w:tcW w:w="1138"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47,000</w:t>
            </w:r>
          </w:p>
        </w:tc>
        <w:tc>
          <w:tcPr>
            <w:tcW w:w="1138"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44,000</w:t>
            </w:r>
          </w:p>
        </w:tc>
      </w:tr>
    </w:tbl>
    <w:p w:rsidR="003C7DCE" w:rsidRPr="003C7DCE" w:rsidRDefault="003C7DCE" w:rsidP="003C7DCE">
      <w:pPr>
        <w:pStyle w:val="Heading3"/>
        <w:rPr>
          <w:u w:val="none"/>
        </w:rPr>
      </w:pPr>
      <w:r w:rsidRPr="003C7DCE">
        <w:rPr>
          <w:u w:val="none"/>
        </w:rPr>
        <w:t xml:space="preserve">The Council has been spending an increasing amount in major capital programs </w:t>
      </w:r>
      <w:r w:rsidR="005F5BF6">
        <w:rPr>
          <w:u w:val="none"/>
        </w:rPr>
        <w:t>but determining the amount spent on renewal of assets as opposed to new assets can be difficult as some projects have both a renewal and upgrade/new assets component</w:t>
      </w:r>
      <w:r w:rsidRPr="003C7DCE">
        <w:rPr>
          <w:u w:val="none"/>
        </w:rPr>
        <w:t>.  Part of the new capital works program includes large scale sewerage projects, and new sporting and aquatic centres.  The sewerage projects have been partly funded by external grants and debt.</w:t>
      </w:r>
    </w:p>
    <w:p w:rsidR="003C7DCE" w:rsidRPr="003C7DCE" w:rsidRDefault="003C7DCE" w:rsidP="003C7DCE">
      <w:pPr>
        <w:pStyle w:val="Heading3"/>
        <w:rPr>
          <w:u w:val="none"/>
        </w:rPr>
      </w:pPr>
      <w:r w:rsidRPr="003C7DCE">
        <w:rPr>
          <w:u w:val="none"/>
        </w:rPr>
        <w:t>Other recently completed projects include:</w:t>
      </w:r>
    </w:p>
    <w:p w:rsidR="003C7DCE" w:rsidRPr="006950B8" w:rsidRDefault="003C7DCE" w:rsidP="003C7DCE">
      <w:pPr>
        <w:pStyle w:val="ListParagraph"/>
        <w:numPr>
          <w:ilvl w:val="0"/>
          <w:numId w:val="1"/>
        </w:numPr>
        <w:ind w:left="714" w:hanging="357"/>
      </w:pPr>
      <w:r w:rsidRPr="006950B8">
        <w:t>Extensions to Shoalhaven Entertainment Centre</w:t>
      </w:r>
    </w:p>
    <w:p w:rsidR="003C7DCE" w:rsidRPr="006950B8" w:rsidRDefault="003C7DCE" w:rsidP="003C7DCE">
      <w:pPr>
        <w:pStyle w:val="ListParagraph"/>
        <w:numPr>
          <w:ilvl w:val="0"/>
          <w:numId w:val="1"/>
        </w:numPr>
        <w:ind w:left="714" w:hanging="357"/>
      </w:pPr>
      <w:r w:rsidRPr="006950B8">
        <w:t>Works on Main Road 92 from Nowra to Nerriga</w:t>
      </w:r>
    </w:p>
    <w:p w:rsidR="003C7DCE" w:rsidRPr="006950B8" w:rsidRDefault="003C7DCE" w:rsidP="003C7DCE">
      <w:pPr>
        <w:pStyle w:val="ListParagraph"/>
        <w:numPr>
          <w:ilvl w:val="0"/>
          <w:numId w:val="1"/>
        </w:numPr>
        <w:ind w:left="714" w:hanging="357"/>
      </w:pPr>
      <w:r w:rsidRPr="006950B8">
        <w:t>Currarong Sewerage Scheme for $14.6m</w:t>
      </w:r>
    </w:p>
    <w:p w:rsidR="003C7DCE" w:rsidRPr="006950B8" w:rsidRDefault="003C7DCE" w:rsidP="003C7DCE">
      <w:pPr>
        <w:pStyle w:val="ListParagraph"/>
        <w:numPr>
          <w:ilvl w:val="0"/>
          <w:numId w:val="1"/>
        </w:numPr>
        <w:ind w:left="714" w:hanging="357"/>
      </w:pPr>
      <w:r w:rsidRPr="006950B8">
        <w:t>Work on the Bernie Regan Sporting Complex Hockey Field for $2.2m</w:t>
      </w:r>
    </w:p>
    <w:p w:rsidR="003C7DCE" w:rsidRPr="006950B8" w:rsidRDefault="003C7DCE" w:rsidP="003C7DCE">
      <w:pPr>
        <w:pStyle w:val="ListParagraph"/>
        <w:numPr>
          <w:ilvl w:val="0"/>
          <w:numId w:val="1"/>
        </w:numPr>
        <w:ind w:left="714" w:hanging="357"/>
      </w:pPr>
      <w:r w:rsidRPr="006950B8">
        <w:t>Upgrade of eight tourist parks for $2.0m</w:t>
      </w:r>
    </w:p>
    <w:p w:rsidR="00B96B71" w:rsidRDefault="00B96B71" w:rsidP="00B96B71">
      <w:pPr>
        <w:spacing w:before="0" w:after="200" w:line="276" w:lineRule="auto"/>
        <w:jc w:val="left"/>
      </w:pPr>
    </w:p>
    <w:p w:rsidR="00B96B71" w:rsidRPr="00703145" w:rsidRDefault="00B96B71" w:rsidP="00893E42">
      <w:pPr>
        <w:pStyle w:val="Heading2"/>
        <w:spacing w:before="220" w:after="220" w:line="280" w:lineRule="exact"/>
      </w:pPr>
      <w:bookmarkStart w:id="28" w:name="_Toc326918024"/>
      <w:r w:rsidRPr="00703145">
        <w:t>3.7:</w:t>
      </w:r>
      <w:r w:rsidRPr="00703145">
        <w:tab/>
        <w:t>Specific Risks to Council</w:t>
      </w:r>
      <w:bookmarkEnd w:id="28"/>
    </w:p>
    <w:p w:rsidR="003C7DCE" w:rsidRPr="006950B8" w:rsidRDefault="003C7DCE" w:rsidP="003C7DCE">
      <w:pPr>
        <w:pStyle w:val="ListParagraph"/>
        <w:numPr>
          <w:ilvl w:val="0"/>
          <w:numId w:val="1"/>
        </w:numPr>
        <w:ind w:left="714" w:hanging="357"/>
      </w:pPr>
      <w:r w:rsidRPr="006950B8">
        <w:t>Growing population.  Population growth places pressure on existing infrastructure and services and also increase</w:t>
      </w:r>
      <w:r>
        <w:t>s</w:t>
      </w:r>
      <w:r w:rsidRPr="006950B8">
        <w:t xml:space="preserve"> demand for new infrastructure and services. </w:t>
      </w:r>
      <w:r>
        <w:t xml:space="preserve"> </w:t>
      </w:r>
      <w:r w:rsidRPr="006950B8">
        <w:t>The challenge for the Council is to maintain service levels across new and existing facilities and maintain financial sustainability.  The Council is aware of the issue as stated in its Resourcing Plan.  It plans to address this by ensuring</w:t>
      </w:r>
      <w:r w:rsidR="00B008B8">
        <w:t xml:space="preserve"> additional rates</w:t>
      </w:r>
      <w:r w:rsidRPr="006950B8">
        <w:t xml:space="preserve"> revenue generated from the new residents is used to fund </w:t>
      </w:r>
      <w:r w:rsidR="00B008B8">
        <w:t xml:space="preserve">the operating cost of expanded </w:t>
      </w:r>
      <w:r w:rsidRPr="006950B8">
        <w:t>services and infrastructure.</w:t>
      </w:r>
      <w:r w:rsidR="00B008B8">
        <w:t xml:space="preserve">  </w:t>
      </w:r>
      <w:r w:rsidR="00261FB5">
        <w:t>New capital works to address growth is forecast to be funded from Developer Contributions and if applicable, matching capital funds from other sources.</w:t>
      </w:r>
    </w:p>
    <w:p w:rsidR="003C7DCE" w:rsidRPr="006950B8" w:rsidRDefault="003C7DCE" w:rsidP="003C7DCE">
      <w:pPr>
        <w:pStyle w:val="ListParagraph"/>
        <w:numPr>
          <w:ilvl w:val="0"/>
          <w:numId w:val="1"/>
        </w:numPr>
        <w:ind w:left="714" w:hanging="357"/>
      </w:pPr>
      <w:r w:rsidRPr="006950B8">
        <w:t>Ageing population.  The LGA generally has an older communit</w:t>
      </w:r>
      <w:r>
        <w:t>y</w:t>
      </w:r>
      <w:r w:rsidRPr="006950B8">
        <w:t xml:space="preserve"> compared to other NSW regions and a lower than average workforce participation rate.  Retirees generally cannot afford </w:t>
      </w:r>
      <w:r>
        <w:t>significant</w:t>
      </w:r>
      <w:r w:rsidRPr="006950B8">
        <w:t xml:space="preserve"> increases in charges and will require different types of services and facilities.  The Council has highlighted this issue in its Resourcing Plan and will continue to adjust its workforce skills to meet the changing population.</w:t>
      </w:r>
    </w:p>
    <w:p w:rsidR="003C7DCE" w:rsidRPr="006950B8" w:rsidRDefault="003C7DCE" w:rsidP="003C7DCE">
      <w:pPr>
        <w:pStyle w:val="ListParagraph"/>
        <w:numPr>
          <w:ilvl w:val="0"/>
          <w:numId w:val="1"/>
        </w:numPr>
        <w:ind w:left="714" w:hanging="357"/>
      </w:pPr>
      <w:r w:rsidRPr="006950B8">
        <w:lastRenderedPageBreak/>
        <w:t>Ageing workforce.  A shrinking workforce and an ageing population create challenges in managing the Council’s employees.  26% of Council’s staff is in the 51 to 60 years age bracket with 6.4% over 61 years.  The Council is aware of this issue and is actively addressing it with its Workforce Plan.</w:t>
      </w:r>
    </w:p>
    <w:p w:rsidR="003C7DCE" w:rsidRPr="006950B8" w:rsidRDefault="003C7DCE" w:rsidP="003C7DCE">
      <w:pPr>
        <w:pStyle w:val="ListParagraph"/>
        <w:numPr>
          <w:ilvl w:val="0"/>
          <w:numId w:val="1"/>
        </w:numPr>
        <w:ind w:left="714" w:hanging="357"/>
      </w:pPr>
      <w:r w:rsidRPr="006950B8">
        <w:t>Capital projects cost overrun and delays.  Large scale capital projects are planned on water, sewerage and drainage assets to meet population demands and environmental guidelines.  These projects are susceptible to general project risks and the Council will need to have the financial and planning flexibility to accommodate any variations in the projects.  The Council has demonstrated its ability for project management and financial risk management in the recent capital works program and appears to have managed risks adequately.</w:t>
      </w:r>
    </w:p>
    <w:p w:rsidR="003C7DCE" w:rsidRPr="006950B8" w:rsidRDefault="003C7DCE" w:rsidP="003C7DCE">
      <w:pPr>
        <w:pStyle w:val="ListParagraph"/>
        <w:numPr>
          <w:ilvl w:val="0"/>
          <w:numId w:val="1"/>
        </w:numPr>
        <w:ind w:left="714" w:hanging="357"/>
      </w:pPr>
      <w:r w:rsidRPr="006950B8">
        <w:t xml:space="preserve">Environmental factors and natural disasters.  The LGA is at risk of storm and flood events with five Natural Disaster Declarations since 2009.  Costly coastal area management is also a key management and planning concern because of rising sea levels and coastal erosions.  The Council’s management of this risk is substantially reliant on being able to receive both State and Federal funding under various </w:t>
      </w:r>
      <w:r>
        <w:t>“</w:t>
      </w:r>
      <w:r w:rsidRPr="006950B8">
        <w:t>natural disaster</w:t>
      </w:r>
      <w:r>
        <w:t>”</w:t>
      </w:r>
      <w:r w:rsidRPr="006950B8">
        <w:t xml:space="preserve"> funds.</w:t>
      </w:r>
    </w:p>
    <w:p w:rsidR="00F604E1" w:rsidRDefault="00F604E1">
      <w:pPr>
        <w:spacing w:before="220" w:after="220" w:line="276" w:lineRule="auto"/>
        <w:ind w:left="360"/>
        <w:rPr>
          <w:rFonts w:cs="Arial"/>
        </w:rPr>
      </w:pPr>
    </w:p>
    <w:p w:rsidR="00947694" w:rsidRDefault="00947694">
      <w:pPr>
        <w:spacing w:before="0" w:after="0" w:line="240" w:lineRule="auto"/>
        <w:jc w:val="left"/>
        <w:rPr>
          <w:b/>
          <w:sz w:val="28"/>
          <w:szCs w:val="28"/>
        </w:rPr>
      </w:pPr>
      <w:bookmarkStart w:id="29" w:name="_Toc326918025"/>
      <w:r>
        <w:br w:type="page"/>
      </w:r>
    </w:p>
    <w:p w:rsidR="00B96B71" w:rsidRPr="00893E42" w:rsidRDefault="00B96B71" w:rsidP="005672E3">
      <w:pPr>
        <w:pStyle w:val="Heading1"/>
      </w:pPr>
      <w:r>
        <w:lastRenderedPageBreak/>
        <w:t>Section 4</w:t>
      </w:r>
      <w:r w:rsidRPr="00701D01">
        <w:tab/>
      </w:r>
      <w:r w:rsidRPr="000306B7">
        <w:t>Review of Financial Forecasts</w:t>
      </w:r>
      <w:bookmarkEnd w:id="29"/>
    </w:p>
    <w:p w:rsidR="003C7DCE" w:rsidRPr="003C7DCE" w:rsidRDefault="003C7DCE" w:rsidP="003C7DCE">
      <w:pPr>
        <w:pStyle w:val="Heading3"/>
        <w:rPr>
          <w:u w:val="none"/>
        </w:rPr>
      </w:pPr>
      <w:r w:rsidRPr="003C7DCE">
        <w:rPr>
          <w:u w:val="none"/>
        </w:rPr>
        <w:t>The financial model shows the projected financial statements and assumptions for the next 10 years.  The model includes the $2m loan without any LIRS subsidy and the cost of the project.</w:t>
      </w:r>
    </w:p>
    <w:p w:rsidR="003C7DCE" w:rsidRPr="003C7DCE" w:rsidRDefault="003C7DCE" w:rsidP="003C7DCE">
      <w:pPr>
        <w:pStyle w:val="Heading3"/>
        <w:rPr>
          <w:u w:val="none"/>
        </w:rPr>
      </w:pPr>
      <w:r w:rsidRPr="003C7DCE">
        <w:rPr>
          <w:u w:val="none"/>
        </w:rPr>
        <w:t xml:space="preserve">The LIRS loan relates to the General Fund, therefore we have focused our financial analysis solely upon this General Fund.  Council’s consolidated position includes both </w:t>
      </w:r>
      <w:r w:rsidR="00435FEA" w:rsidRPr="003C7DCE">
        <w:rPr>
          <w:u w:val="none"/>
        </w:rPr>
        <w:t>Water</w:t>
      </w:r>
      <w:r w:rsidRPr="003C7DCE">
        <w:rPr>
          <w:u w:val="none"/>
        </w:rPr>
        <w:t xml:space="preserve"> and Sewer Fund and these are operated as independent entities, which unlike the General Fund, are able to adjust their fees and charges to meet all future operating and investing expenses.</w:t>
      </w:r>
    </w:p>
    <w:p w:rsidR="003C7DCE" w:rsidRPr="003C7DCE" w:rsidRDefault="003C7DCE" w:rsidP="003C7DCE">
      <w:pPr>
        <w:pStyle w:val="Heading3"/>
        <w:rPr>
          <w:u w:val="none"/>
        </w:rPr>
      </w:pPr>
      <w:r w:rsidRPr="003C7DCE">
        <w:rPr>
          <w:u w:val="none"/>
        </w:rPr>
        <w:t>The Council has assumed it will maintain its existing level of service in its forecasts and any new services and infrastructure are to be funded by s94 Developer’s Contribution and rates from the new property.</w:t>
      </w:r>
    </w:p>
    <w:p w:rsidR="0090683B" w:rsidRPr="0090683B" w:rsidRDefault="0090683B" w:rsidP="003C7DCE">
      <w:pPr>
        <w:pStyle w:val="Heading2"/>
        <w:spacing w:before="220" w:after="220" w:line="280" w:lineRule="exact"/>
        <w:rPr>
          <w:b w:val="0"/>
        </w:rPr>
      </w:pPr>
    </w:p>
    <w:p w:rsidR="00B96B71" w:rsidRPr="00893E42" w:rsidRDefault="00B96B71" w:rsidP="003C7DCE">
      <w:pPr>
        <w:pStyle w:val="Heading2"/>
        <w:spacing w:before="220" w:after="220" w:line="280" w:lineRule="exact"/>
      </w:pPr>
      <w:bookmarkStart w:id="30" w:name="_Toc326918026"/>
      <w:r>
        <w:t>4.1</w:t>
      </w:r>
      <w:r w:rsidRPr="00D60017">
        <w:t>:</w:t>
      </w:r>
      <w:r>
        <w:tab/>
      </w:r>
      <w:r w:rsidR="00052A63">
        <w:t>Operating Results</w:t>
      </w:r>
      <w:bookmarkEnd w:id="30"/>
    </w:p>
    <w:p w:rsidR="0044330F" w:rsidRDefault="00054B40" w:rsidP="003C7DCE">
      <w:r>
        <w:rPr>
          <w:noProof/>
        </w:rPr>
        <w:drawing>
          <wp:anchor distT="0" distB="0" distL="114300" distR="114300" simplePos="0" relativeHeight="251676672" behindDoc="1" locked="0" layoutInCell="1" allowOverlap="1">
            <wp:simplePos x="0" y="0"/>
            <wp:positionH relativeFrom="column">
              <wp:posOffset>64135</wp:posOffset>
            </wp:positionH>
            <wp:positionV relativeFrom="paragraph">
              <wp:posOffset>6985</wp:posOffset>
            </wp:positionV>
            <wp:extent cx="5099050" cy="2397760"/>
            <wp:effectExtent l="19050" t="0" r="6350" b="0"/>
            <wp:wrapTight wrapText="bothSides">
              <wp:wrapPolygon edited="0">
                <wp:start x="-81" y="0"/>
                <wp:lineTo x="-81" y="21451"/>
                <wp:lineTo x="21627" y="21451"/>
                <wp:lineTo x="21627" y="0"/>
                <wp:lineTo x="-8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099050" cy="2397760"/>
                    </a:xfrm>
                    <a:prstGeom prst="rect">
                      <a:avLst/>
                    </a:prstGeom>
                    <a:noFill/>
                    <a:ln w="9525">
                      <a:noFill/>
                      <a:miter lim="800000"/>
                      <a:headEnd/>
                      <a:tailEnd/>
                    </a:ln>
                  </pic:spPr>
                </pic:pic>
              </a:graphicData>
            </a:graphic>
          </wp:anchor>
        </w:drawing>
      </w:r>
    </w:p>
    <w:p w:rsidR="003C7DCE" w:rsidRDefault="00054B40" w:rsidP="003C7DCE">
      <w:r>
        <w:t>The Council’s Operating Ratio is forecast to be below benchmark in all the forecast years and is not expected to improve until 2019.</w:t>
      </w:r>
    </w:p>
    <w:p w:rsidR="003C7DCE" w:rsidRDefault="003C7DCE" w:rsidP="003C7DCE">
      <w:r>
        <w:t>The Council has stated that it aims to achieve a target of a “break even operating position or better (before capital grants and contributions)” in each year.  It also aims to reduce debt and improve reserve funding.  To achieve this, it has set itself a target of reducing expenditure by $1m p.</w:t>
      </w:r>
      <w:r w:rsidR="00BD4362">
        <w:t>a. by 2015 starting from 2012.</w:t>
      </w:r>
    </w:p>
    <w:p w:rsidR="00424A2E" w:rsidRDefault="00424A2E" w:rsidP="00B96B71">
      <w:pPr>
        <w:spacing w:before="220" w:after="220" w:line="276" w:lineRule="auto"/>
        <w:rPr>
          <w:b/>
        </w:rPr>
      </w:pPr>
    </w:p>
    <w:p w:rsidR="00010CA2" w:rsidRDefault="00010CA2">
      <w:pPr>
        <w:spacing w:before="0" w:after="0" w:line="240" w:lineRule="auto"/>
        <w:jc w:val="left"/>
        <w:rPr>
          <w:b/>
        </w:rPr>
      </w:pPr>
      <w:bookmarkStart w:id="31" w:name="_Toc326918027"/>
      <w:r>
        <w:br w:type="page"/>
      </w:r>
    </w:p>
    <w:p w:rsidR="00B25836" w:rsidRDefault="00B96B71" w:rsidP="00B25836">
      <w:pPr>
        <w:pStyle w:val="Heading2"/>
      </w:pPr>
      <w:r>
        <w:lastRenderedPageBreak/>
        <w:t>4.2</w:t>
      </w:r>
      <w:r w:rsidRPr="00D60017">
        <w:t>:</w:t>
      </w:r>
      <w:r>
        <w:tab/>
        <w:t>Financial Management Indicators</w:t>
      </w:r>
      <w:bookmarkEnd w:id="31"/>
    </w:p>
    <w:p w:rsidR="00B96B71" w:rsidRPr="00150FA5" w:rsidRDefault="00B25836" w:rsidP="00374A23">
      <w:pPr>
        <w:pStyle w:val="Heading3"/>
      </w:pPr>
      <w:r>
        <w:rPr>
          <w:noProof/>
        </w:rPr>
        <w:drawing>
          <wp:anchor distT="0" distB="0" distL="114300" distR="114300" simplePos="0" relativeHeight="251677696" behindDoc="1" locked="0" layoutInCell="1" allowOverlap="1">
            <wp:simplePos x="0" y="0"/>
            <wp:positionH relativeFrom="column">
              <wp:posOffset>12700</wp:posOffset>
            </wp:positionH>
            <wp:positionV relativeFrom="paragraph">
              <wp:posOffset>285115</wp:posOffset>
            </wp:positionV>
            <wp:extent cx="5097145" cy="2725420"/>
            <wp:effectExtent l="19050" t="0" r="8255" b="0"/>
            <wp:wrapTight wrapText="bothSides">
              <wp:wrapPolygon edited="0">
                <wp:start x="-81" y="0"/>
                <wp:lineTo x="-81" y="21439"/>
                <wp:lineTo x="21635" y="21439"/>
                <wp:lineTo x="21635" y="0"/>
                <wp:lineTo x="-81"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097145" cy="2725420"/>
                    </a:xfrm>
                    <a:prstGeom prst="rect">
                      <a:avLst/>
                    </a:prstGeom>
                    <a:noFill/>
                    <a:ln w="9525">
                      <a:noFill/>
                      <a:miter lim="800000"/>
                      <a:headEnd/>
                      <a:tailEnd/>
                    </a:ln>
                  </pic:spPr>
                </pic:pic>
              </a:graphicData>
            </a:graphic>
          </wp:anchor>
        </w:drawing>
      </w:r>
      <w:r w:rsidR="00B96B71" w:rsidRPr="00150FA5">
        <w:t>Liquidity Ratios</w:t>
      </w:r>
    </w:p>
    <w:p w:rsidR="00BD4362" w:rsidRDefault="00F25129" w:rsidP="00B25836">
      <w:pPr>
        <w:rPr>
          <w:noProof/>
        </w:rPr>
      </w:pPr>
      <w:r>
        <w:rPr>
          <w:noProof/>
        </w:rPr>
        <w:drawing>
          <wp:anchor distT="0" distB="0" distL="114300" distR="114300" simplePos="0" relativeHeight="251678720" behindDoc="1" locked="0" layoutInCell="1" allowOverlap="1">
            <wp:simplePos x="0" y="0"/>
            <wp:positionH relativeFrom="column">
              <wp:posOffset>13970</wp:posOffset>
            </wp:positionH>
            <wp:positionV relativeFrom="paragraph">
              <wp:posOffset>2731135</wp:posOffset>
            </wp:positionV>
            <wp:extent cx="5095240" cy="2397760"/>
            <wp:effectExtent l="19050" t="0" r="0" b="0"/>
            <wp:wrapTight wrapText="bothSides">
              <wp:wrapPolygon edited="0">
                <wp:start x="-81" y="0"/>
                <wp:lineTo x="-81" y="21451"/>
                <wp:lineTo x="21562" y="21451"/>
                <wp:lineTo x="21562" y="0"/>
                <wp:lineTo x="-81" y="0"/>
              </wp:wrapPolygon>
            </wp:wrapTight>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095240" cy="2397760"/>
                    </a:xfrm>
                    <a:prstGeom prst="rect">
                      <a:avLst/>
                    </a:prstGeom>
                    <a:noFill/>
                    <a:ln w="9525">
                      <a:noFill/>
                      <a:miter lim="800000"/>
                      <a:headEnd/>
                      <a:tailEnd/>
                    </a:ln>
                  </pic:spPr>
                </pic:pic>
              </a:graphicData>
            </a:graphic>
          </wp:anchor>
        </w:drawing>
      </w:r>
      <w:r w:rsidR="00BD4362">
        <w:rPr>
          <w:noProof/>
        </w:rPr>
        <w:t>Based on the Council’s cash and cash equivalent forecasts, the Cash Expense Ratio is below benchmark in most of the forecast years.  This Ratio continues to deteriorate and cash dips into negative territory in 2019.</w:t>
      </w:r>
    </w:p>
    <w:p w:rsidR="00F25129" w:rsidRDefault="00F25129" w:rsidP="00F25129">
      <w:r>
        <w:t>Unrestricted Current Ratio is below benchmark for most of the forecast years and falls into negative territory in 2015.  This is not a sustainable position and Council will need to review its revenue, operating expenses and capital expenditure levels in the short term.</w:t>
      </w:r>
    </w:p>
    <w:p w:rsidR="00F25129" w:rsidRDefault="00F25129">
      <w:pPr>
        <w:spacing w:before="0" w:after="0" w:line="240" w:lineRule="auto"/>
        <w:jc w:val="left"/>
        <w:rPr>
          <w:u w:val="single"/>
        </w:rPr>
      </w:pPr>
      <w:r>
        <w:br w:type="page"/>
      </w:r>
    </w:p>
    <w:p w:rsidR="00B96B71" w:rsidRPr="00150FA5" w:rsidRDefault="00B96B71" w:rsidP="00374A23">
      <w:pPr>
        <w:pStyle w:val="Heading3"/>
      </w:pPr>
      <w:r w:rsidRPr="00150FA5">
        <w:lastRenderedPageBreak/>
        <w:t>Fiscal Flexibility Ratios</w:t>
      </w:r>
    </w:p>
    <w:p w:rsidR="00FC39BB" w:rsidRDefault="00D30B6D">
      <w:pPr>
        <w:pStyle w:val="Heading3"/>
        <w:rPr>
          <w:noProof/>
          <w:u w:val="none"/>
        </w:rPr>
      </w:pPr>
      <w:r w:rsidRPr="00D30B6D">
        <w:rPr>
          <w:noProof/>
        </w:rPr>
        <w:drawing>
          <wp:anchor distT="0" distB="0" distL="114300" distR="114300" simplePos="0" relativeHeight="251683840" behindDoc="1" locked="0" layoutInCell="1" allowOverlap="1">
            <wp:simplePos x="0" y="0"/>
            <wp:positionH relativeFrom="column">
              <wp:posOffset>20955</wp:posOffset>
            </wp:positionH>
            <wp:positionV relativeFrom="paragraph">
              <wp:posOffset>-18415</wp:posOffset>
            </wp:positionV>
            <wp:extent cx="5100320" cy="2760345"/>
            <wp:effectExtent l="19050" t="0" r="5080" b="0"/>
            <wp:wrapTight wrapText="bothSides">
              <wp:wrapPolygon edited="0">
                <wp:start x="-81" y="0"/>
                <wp:lineTo x="-81" y="21466"/>
                <wp:lineTo x="21622" y="21466"/>
                <wp:lineTo x="21622" y="0"/>
                <wp:lineTo x="-81" y="0"/>
              </wp:wrapPolygon>
            </wp:wrapTight>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100320" cy="2760345"/>
                    </a:xfrm>
                    <a:prstGeom prst="rect">
                      <a:avLst/>
                    </a:prstGeom>
                    <a:noFill/>
                    <a:ln w="9525">
                      <a:noFill/>
                      <a:miter lim="800000"/>
                      <a:headEnd/>
                      <a:tailEnd/>
                    </a:ln>
                  </pic:spPr>
                </pic:pic>
              </a:graphicData>
            </a:graphic>
          </wp:anchor>
        </w:drawing>
      </w:r>
      <w:r w:rsidR="00FC39BB">
        <w:rPr>
          <w:noProof/>
          <w:u w:val="none"/>
        </w:rPr>
        <w:t>In forecasting the General Fund’s inc</w:t>
      </w:r>
      <w:r w:rsidR="00435FEA">
        <w:rPr>
          <w:noProof/>
          <w:u w:val="none"/>
        </w:rPr>
        <w:t>o</w:t>
      </w:r>
      <w:r w:rsidR="00FC39BB">
        <w:rPr>
          <w:noProof/>
          <w:u w:val="none"/>
        </w:rPr>
        <w:t>me statement, the Council included internal transactions in its revenue number.  This skewes the calculation of Own Source Operating Revenue Ratio by inflating Operating Revenue in the denominator.  TCorp has adjusted the calculation of this ratio by deducting an assumed internal transaction amount of the revenue.</w:t>
      </w:r>
    </w:p>
    <w:p w:rsidR="00087E51" w:rsidRDefault="00FC39BB" w:rsidP="00087E51">
      <w:pPr>
        <w:pStyle w:val="Heading3"/>
      </w:pPr>
      <w:r>
        <w:rPr>
          <w:noProof/>
          <w:u w:val="none"/>
        </w:rPr>
        <w:t>Based on this calculation, t</w:t>
      </w:r>
      <w:r w:rsidR="00D91AE9">
        <w:rPr>
          <w:noProof/>
          <w:u w:val="none"/>
        </w:rPr>
        <w:t xml:space="preserve">he Council’s Own Source Operating Revenue Ratio is </w:t>
      </w:r>
      <w:r w:rsidR="004E3A38">
        <w:rPr>
          <w:noProof/>
          <w:u w:val="none"/>
        </w:rPr>
        <w:t xml:space="preserve">well </w:t>
      </w:r>
      <w:r w:rsidR="00087E51">
        <w:rPr>
          <w:noProof/>
          <w:u w:val="none"/>
        </w:rPr>
        <w:t>above</w:t>
      </w:r>
      <w:r w:rsidR="00D91AE9">
        <w:rPr>
          <w:noProof/>
          <w:u w:val="none"/>
        </w:rPr>
        <w:t xml:space="preserve"> the benchmark of 60% throughout the forecast period.</w:t>
      </w:r>
      <w:r w:rsidR="00087E51">
        <w:rPr>
          <w:noProof/>
          <w:u w:val="none"/>
        </w:rPr>
        <w:t xml:space="preserve">  This indicates that </w:t>
      </w:r>
      <w:r w:rsidR="00087E51">
        <w:rPr>
          <w:u w:val="none"/>
        </w:rPr>
        <w:t>the Council is not heavily reliant on external grants and contributions in their forecasts and have the financial flexibility to manage its own finances.</w:t>
      </w:r>
    </w:p>
    <w:p w:rsidR="00426FBC" w:rsidRDefault="00087E51">
      <w:pPr>
        <w:pStyle w:val="Heading3"/>
      </w:pPr>
      <w:r>
        <w:rPr>
          <w:u w:val="none"/>
        </w:rPr>
        <w:t>Capital grants and contributions assumptions are lower than historical results from 2013 onwards.  This skews the Own Source Operating Revenue Ratio upwards from 2013.</w:t>
      </w:r>
    </w:p>
    <w:p w:rsidR="00087E51" w:rsidRDefault="00D30B6D">
      <w:pPr>
        <w:spacing w:before="0" w:after="0" w:line="240" w:lineRule="auto"/>
        <w:jc w:val="left"/>
      </w:pPr>
      <w:r>
        <w:rPr>
          <w:noProof/>
        </w:rPr>
        <w:drawing>
          <wp:anchor distT="0" distB="0" distL="114300" distR="114300" simplePos="0" relativeHeight="251680768" behindDoc="1" locked="0" layoutInCell="1" allowOverlap="1">
            <wp:simplePos x="0" y="0"/>
            <wp:positionH relativeFrom="column">
              <wp:posOffset>-47625</wp:posOffset>
            </wp:positionH>
            <wp:positionV relativeFrom="paragraph">
              <wp:posOffset>6350</wp:posOffset>
            </wp:positionV>
            <wp:extent cx="5097780" cy="2725420"/>
            <wp:effectExtent l="19050" t="0" r="7620" b="0"/>
            <wp:wrapTight wrapText="bothSides">
              <wp:wrapPolygon edited="0">
                <wp:start x="-81" y="0"/>
                <wp:lineTo x="-81" y="21439"/>
                <wp:lineTo x="21632" y="21439"/>
                <wp:lineTo x="21632" y="0"/>
                <wp:lineTo x="-81" y="0"/>
              </wp:wrapPolygon>
            </wp:wrapTight>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097780" cy="2725420"/>
                    </a:xfrm>
                    <a:prstGeom prst="rect">
                      <a:avLst/>
                    </a:prstGeom>
                    <a:noFill/>
                    <a:ln w="9525">
                      <a:noFill/>
                      <a:miter lim="800000"/>
                      <a:headEnd/>
                      <a:tailEnd/>
                    </a:ln>
                  </pic:spPr>
                </pic:pic>
              </a:graphicData>
            </a:graphic>
          </wp:anchor>
        </w:drawing>
      </w:r>
      <w:r w:rsidR="00087E51">
        <w:br w:type="page"/>
      </w:r>
    </w:p>
    <w:p w:rsidR="00426FBC" w:rsidRDefault="00087E51" w:rsidP="00087E51">
      <w:r>
        <w:rPr>
          <w:noProof/>
        </w:rPr>
        <w:lastRenderedPageBreak/>
        <w:drawing>
          <wp:anchor distT="0" distB="0" distL="114300" distR="114300" simplePos="0" relativeHeight="251681792" behindDoc="1" locked="0" layoutInCell="1" allowOverlap="1">
            <wp:simplePos x="0" y="0"/>
            <wp:positionH relativeFrom="column">
              <wp:posOffset>-31750</wp:posOffset>
            </wp:positionH>
            <wp:positionV relativeFrom="paragraph">
              <wp:posOffset>-18415</wp:posOffset>
            </wp:positionV>
            <wp:extent cx="5099685" cy="2760345"/>
            <wp:effectExtent l="19050" t="0" r="5715" b="0"/>
            <wp:wrapTight wrapText="bothSides">
              <wp:wrapPolygon edited="0">
                <wp:start x="-81" y="0"/>
                <wp:lineTo x="-81" y="21466"/>
                <wp:lineTo x="21624" y="21466"/>
                <wp:lineTo x="21624" y="0"/>
                <wp:lineTo x="-81" y="0"/>
              </wp:wrapPolygon>
            </wp:wrapTight>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099685" cy="2760345"/>
                    </a:xfrm>
                    <a:prstGeom prst="rect">
                      <a:avLst/>
                    </a:prstGeom>
                    <a:noFill/>
                    <a:ln w="9525">
                      <a:noFill/>
                      <a:miter lim="800000"/>
                      <a:headEnd/>
                      <a:tailEnd/>
                    </a:ln>
                  </pic:spPr>
                </pic:pic>
              </a:graphicData>
            </a:graphic>
          </wp:anchor>
        </w:drawing>
      </w:r>
      <w:r w:rsidR="00C65314">
        <w:t xml:space="preserve">Overall, the Council’s DSCR is well above the benchmark level of </w:t>
      </w:r>
      <w:proofErr w:type="gramStart"/>
      <w:r w:rsidR="00C65314">
        <w:t>2.0x</w:t>
      </w:r>
      <w:proofErr w:type="gramEnd"/>
      <w:r w:rsidR="00C65314">
        <w:t xml:space="preserve"> and its Interest Cover Ratio is well above 4.0x in the forecast period.  Both these ratios demonstrate its ability to service not only the $2.0m LIRS loan </w:t>
      </w:r>
      <w:r w:rsidR="0054078F">
        <w:t>subject to its cash and liquidity levels being maintained</w:t>
      </w:r>
      <w:r w:rsidR="00C65314">
        <w:t>.</w:t>
      </w:r>
      <w:r w:rsidR="0054078F">
        <w:t xml:space="preserve">  It reflects that Council has a low level of borrowings at 2.6% of the General Fund’s net assets in 2011.</w:t>
      </w:r>
    </w:p>
    <w:p w:rsidR="00B96B71" w:rsidRPr="00893E42" w:rsidRDefault="0054078F" w:rsidP="00893E42">
      <w:pPr>
        <w:pStyle w:val="Heading2"/>
        <w:spacing w:before="220" w:after="220" w:line="280" w:lineRule="exact"/>
      </w:pPr>
      <w:bookmarkStart w:id="32" w:name="_Toc326918028"/>
      <w:r>
        <w:rPr>
          <w:noProof/>
        </w:rPr>
        <w:drawing>
          <wp:anchor distT="0" distB="0" distL="114300" distR="114300" simplePos="0" relativeHeight="251682816" behindDoc="1" locked="0" layoutInCell="1" allowOverlap="1">
            <wp:simplePos x="0" y="0"/>
            <wp:positionH relativeFrom="column">
              <wp:posOffset>20955</wp:posOffset>
            </wp:positionH>
            <wp:positionV relativeFrom="paragraph">
              <wp:posOffset>378460</wp:posOffset>
            </wp:positionV>
            <wp:extent cx="5100320" cy="2725420"/>
            <wp:effectExtent l="19050" t="0" r="5080" b="0"/>
            <wp:wrapTight wrapText="bothSides">
              <wp:wrapPolygon edited="0">
                <wp:start x="-81" y="0"/>
                <wp:lineTo x="-81" y="21439"/>
                <wp:lineTo x="21622" y="21439"/>
                <wp:lineTo x="21622" y="0"/>
                <wp:lineTo x="-81" y="0"/>
              </wp:wrapPolygon>
            </wp:wrapTight>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100320" cy="2725420"/>
                    </a:xfrm>
                    <a:prstGeom prst="rect">
                      <a:avLst/>
                    </a:prstGeom>
                    <a:noFill/>
                    <a:ln w="9525">
                      <a:noFill/>
                      <a:miter lim="800000"/>
                      <a:headEnd/>
                      <a:tailEnd/>
                    </a:ln>
                  </pic:spPr>
                </pic:pic>
              </a:graphicData>
            </a:graphic>
          </wp:anchor>
        </w:drawing>
      </w:r>
      <w:r w:rsidR="00B96B71">
        <w:t>4.3</w:t>
      </w:r>
      <w:r w:rsidR="00B96B71" w:rsidRPr="00D60017">
        <w:t>:</w:t>
      </w:r>
      <w:r w:rsidR="00B96B71">
        <w:tab/>
        <w:t>Capital Expenditure</w:t>
      </w:r>
      <w:bookmarkEnd w:id="32"/>
    </w:p>
    <w:p w:rsidR="0022090B" w:rsidRDefault="0022090B">
      <w:r>
        <w:t>After the peak in 2012, the Council’s Capital Expenditure Ratio is forecast to decline and it falls to below benchmark levels in 2017.</w:t>
      </w:r>
      <w:r w:rsidR="008E3F20">
        <w:t xml:space="preserve">  The shortfall </w:t>
      </w:r>
      <w:r w:rsidR="00B72C74">
        <w:t>in</w:t>
      </w:r>
      <w:r w:rsidR="008E3F20">
        <w:t xml:space="preserve"> capital expenditure below depreciation expense for the forecast years accumulates to $38.0m in nominal terms.</w:t>
      </w:r>
    </w:p>
    <w:p w:rsidR="00426FBC" w:rsidRDefault="00010CA2">
      <w:r w:rsidRPr="00010CA2">
        <w:t>The Council has stated that its first priority for capital project expenditure is renewal and replacement works, the second priority is projects that address the growth of the Council, and the last priority is the construction of new assets to deliver new facilities or increased levels of service.</w:t>
      </w:r>
    </w:p>
    <w:p w:rsidR="00B96B71" w:rsidRPr="00893E42" w:rsidRDefault="00424A2E" w:rsidP="00893E42">
      <w:pPr>
        <w:pStyle w:val="Heading2"/>
        <w:spacing w:before="220" w:after="220" w:line="280" w:lineRule="exact"/>
      </w:pPr>
      <w:r>
        <w:rPr>
          <w:b w:val="0"/>
        </w:rPr>
        <w:br w:type="page"/>
      </w:r>
      <w:bookmarkStart w:id="33" w:name="_Toc326918029"/>
      <w:r w:rsidR="00B96B71">
        <w:lastRenderedPageBreak/>
        <w:t>4.4</w:t>
      </w:r>
      <w:r w:rsidR="00B96B71" w:rsidRPr="00D60017">
        <w:t>:</w:t>
      </w:r>
      <w:r w:rsidR="00B96B71">
        <w:tab/>
        <w:t>Financial Model Assumption Review</w:t>
      </w:r>
      <w:bookmarkEnd w:id="33"/>
    </w:p>
    <w:p w:rsidR="00B96B71" w:rsidRPr="00893E42" w:rsidRDefault="00B96B71" w:rsidP="00893E42">
      <w:pPr>
        <w:pStyle w:val="Heading3"/>
        <w:rPr>
          <w:u w:val="none"/>
        </w:rPr>
      </w:pPr>
      <w:r w:rsidRPr="00893E42">
        <w:rPr>
          <w:u w:val="none"/>
        </w:rPr>
        <w:t>Councils have used their own assumptions in developing their forecasts.</w:t>
      </w:r>
    </w:p>
    <w:p w:rsidR="00B96B71" w:rsidRPr="00893E42" w:rsidRDefault="00B96B71" w:rsidP="00893E42">
      <w:pPr>
        <w:pStyle w:val="Heading3"/>
        <w:rPr>
          <w:u w:val="none"/>
        </w:rPr>
      </w:pPr>
      <w:r w:rsidRPr="00893E42">
        <w:rPr>
          <w:u w:val="none"/>
        </w:rPr>
        <w:t xml:space="preserve">In order to evaluate the validity of </w:t>
      </w:r>
      <w:r w:rsidR="00D24DE7" w:rsidRPr="00893E42">
        <w:rPr>
          <w:u w:val="none"/>
        </w:rPr>
        <w:t xml:space="preserve">the </w:t>
      </w:r>
      <w:r w:rsidRPr="00893E42">
        <w:rPr>
          <w:u w:val="none"/>
        </w:rPr>
        <w:t xml:space="preserve">Council’s forecast model, </w:t>
      </w:r>
      <w:proofErr w:type="spellStart"/>
      <w:r w:rsidRPr="00893E42">
        <w:rPr>
          <w:u w:val="none"/>
        </w:rPr>
        <w:t>TCorp</w:t>
      </w:r>
      <w:proofErr w:type="spellEnd"/>
      <w:r w:rsidRPr="00893E42">
        <w:rPr>
          <w:u w:val="none"/>
        </w:rPr>
        <w:t xml:space="preserve"> has compared the model assumptions versus </w:t>
      </w:r>
      <w:proofErr w:type="spellStart"/>
      <w:r w:rsidRPr="00893E42">
        <w:rPr>
          <w:u w:val="none"/>
        </w:rPr>
        <w:t>TCorp</w:t>
      </w:r>
      <w:r w:rsidR="00D24DE7" w:rsidRPr="00893E42">
        <w:rPr>
          <w:u w:val="none"/>
        </w:rPr>
        <w:t>’s</w:t>
      </w:r>
      <w:proofErr w:type="spellEnd"/>
      <w:r w:rsidRPr="00893E42">
        <w:rPr>
          <w:u w:val="none"/>
        </w:rPr>
        <w:t xml:space="preserve"> benchmarks for annual increases in the various revenue and expenditure items. Any material differences from these benchmarks should be explained through the LTFP.</w:t>
      </w:r>
    </w:p>
    <w:p w:rsidR="00B96B71" w:rsidRPr="00893E42" w:rsidRDefault="00B96B71" w:rsidP="00893E42">
      <w:pPr>
        <w:pStyle w:val="Heading3"/>
        <w:rPr>
          <w:u w:val="none"/>
        </w:rPr>
      </w:pPr>
      <w:proofErr w:type="spellStart"/>
      <w:r w:rsidRPr="00893E42">
        <w:rPr>
          <w:u w:val="none"/>
        </w:rPr>
        <w:t>TCorp</w:t>
      </w:r>
      <w:r w:rsidR="00D24DE7" w:rsidRPr="00893E42">
        <w:rPr>
          <w:u w:val="none"/>
        </w:rPr>
        <w:t>’s</w:t>
      </w:r>
      <w:proofErr w:type="spellEnd"/>
      <w:r w:rsidRPr="00893E42">
        <w:rPr>
          <w:u w:val="none"/>
        </w:rPr>
        <w:t xml:space="preserve"> </w:t>
      </w:r>
      <w:r w:rsidR="00D24DE7" w:rsidRPr="00893E42">
        <w:rPr>
          <w:u w:val="none"/>
        </w:rPr>
        <w:t>b</w:t>
      </w:r>
      <w:r w:rsidRPr="00893E42">
        <w:rPr>
          <w:u w:val="none"/>
        </w:rPr>
        <w:t>enchmarks:</w:t>
      </w:r>
    </w:p>
    <w:p w:rsidR="00B96B71" w:rsidRPr="00FE7955" w:rsidRDefault="00B96B71" w:rsidP="00893E42">
      <w:pPr>
        <w:pStyle w:val="Subtitle"/>
        <w:ind w:left="714" w:hanging="357"/>
      </w:pPr>
      <w:r w:rsidRPr="00FE7955">
        <w:t xml:space="preserve">Rates and annual charges: </w:t>
      </w:r>
      <w:proofErr w:type="spellStart"/>
      <w:r w:rsidRPr="00FE7955">
        <w:t>TCorp</w:t>
      </w:r>
      <w:proofErr w:type="spellEnd"/>
      <w:r w:rsidRPr="00FE7955">
        <w:t xml:space="preserve"> notes that rates increased by 3.4% in the year to September 2011, and in December 2011, IPART announced that the rate peg to apply in the 2012/13 financial year will be 3.6%.</w:t>
      </w:r>
      <w:r>
        <w:t xml:space="preserve">  </w:t>
      </w:r>
      <w:r w:rsidRPr="00FE7955">
        <w:t xml:space="preserve">Beyond 2013 </w:t>
      </w:r>
      <w:proofErr w:type="spellStart"/>
      <w:r w:rsidRPr="00FE7955">
        <w:t>TCorp</w:t>
      </w:r>
      <w:proofErr w:type="spellEnd"/>
      <w:r w:rsidRPr="00FE7955">
        <w:t xml:space="preserve"> has assessed a general benchmark for rate</w:t>
      </w:r>
      <w:r w:rsidR="003F13D4">
        <w:t>s</w:t>
      </w:r>
      <w:r w:rsidRPr="00FE7955">
        <w:t xml:space="preserve"> and annual charge</w:t>
      </w:r>
      <w:r w:rsidR="003F13D4">
        <w:t>s</w:t>
      </w:r>
      <w:r w:rsidRPr="00FE7955">
        <w:t xml:space="preserve"> </w:t>
      </w:r>
      <w:r w:rsidR="006356BC">
        <w:t xml:space="preserve">to </w:t>
      </w:r>
      <w:r w:rsidRPr="00FE7955">
        <w:t>increase by mid-ra</w:t>
      </w:r>
      <w:r w:rsidR="002C37F9">
        <w:t>nge LGCI annual increases of 3%</w:t>
      </w:r>
    </w:p>
    <w:p w:rsidR="00B96B71" w:rsidRPr="00FE7955" w:rsidRDefault="00B96B71" w:rsidP="00893E42">
      <w:pPr>
        <w:pStyle w:val="Subtitle"/>
        <w:ind w:left="714" w:hanging="357"/>
      </w:pPr>
      <w:r w:rsidRPr="00FE7955">
        <w:t>Interest and investment revenue: annual return of 5%</w:t>
      </w:r>
    </w:p>
    <w:p w:rsidR="00B96B71" w:rsidRPr="00FE7955" w:rsidRDefault="00B96B71" w:rsidP="00893E42">
      <w:pPr>
        <w:pStyle w:val="Subtitle"/>
        <w:ind w:left="714" w:hanging="357"/>
      </w:pPr>
      <w:r>
        <w:t>All other revenue</w:t>
      </w:r>
      <w:r w:rsidRPr="00FE7955">
        <w:t xml:space="preserve"> items</w:t>
      </w:r>
      <w:r w:rsidR="00ED5522">
        <w:t>:</w:t>
      </w:r>
      <w:r w:rsidRPr="00FE7955">
        <w:t xml:space="preserve"> the estimated annual </w:t>
      </w:r>
      <w:r>
        <w:t>CPI</w:t>
      </w:r>
      <w:r w:rsidRPr="00FE7955">
        <w:t xml:space="preserve"> increase of 2.5%</w:t>
      </w:r>
    </w:p>
    <w:p w:rsidR="00B96B71" w:rsidRPr="00FE7955" w:rsidRDefault="00B96B71" w:rsidP="00893E42">
      <w:pPr>
        <w:pStyle w:val="Subtitle"/>
        <w:ind w:left="714" w:hanging="357"/>
      </w:pPr>
      <w:r w:rsidRPr="00FE7955">
        <w:t>Employee costs: 3.5% (</w:t>
      </w:r>
      <w:r>
        <w:t xml:space="preserve">estimated </w:t>
      </w:r>
      <w:r w:rsidRPr="00FE7955">
        <w:t>CPI+1%)</w:t>
      </w:r>
    </w:p>
    <w:p w:rsidR="00B96B71" w:rsidRPr="00FE7955" w:rsidRDefault="00B96B71" w:rsidP="00893E42">
      <w:pPr>
        <w:pStyle w:val="Subtitle"/>
        <w:ind w:left="714" w:hanging="357"/>
      </w:pPr>
      <w:r>
        <w:t>All other expenses</w:t>
      </w:r>
      <w:r w:rsidRPr="00FE7955">
        <w:t xml:space="preserve">: the estimated annual </w:t>
      </w:r>
      <w:r>
        <w:t>CPI</w:t>
      </w:r>
      <w:r w:rsidRPr="00FE7955">
        <w:t xml:space="preserve"> increase of 2.5%</w:t>
      </w:r>
    </w:p>
    <w:p w:rsidR="00B96B71" w:rsidRPr="002C37F9" w:rsidRDefault="00B96B71" w:rsidP="00893E42">
      <w:pPr>
        <w:pStyle w:val="Heading3"/>
      </w:pPr>
      <w:r w:rsidRPr="002C37F9">
        <w:t>Key Observations and Risks</w:t>
      </w:r>
    </w:p>
    <w:p w:rsidR="00E7433C" w:rsidRDefault="00E7433C" w:rsidP="00010CA2">
      <w:pPr>
        <w:pStyle w:val="Subtitle"/>
        <w:ind w:left="714" w:hanging="357"/>
      </w:pPr>
      <w:r>
        <w:t>In preparing the LTFP, Council has assumed that the same service level and funding policy as current will continue to apply.</w:t>
      </w:r>
    </w:p>
    <w:p w:rsidR="00010CA2" w:rsidRDefault="00010CA2" w:rsidP="00010CA2">
      <w:pPr>
        <w:pStyle w:val="Subtitle"/>
        <w:ind w:left="714" w:hanging="357"/>
      </w:pPr>
      <w:r>
        <w:t>Council has forecast an average rate and</w:t>
      </w:r>
      <w:r w:rsidR="008915E3">
        <w:t xml:space="preserve"> annual charges increase of 3.5</w:t>
      </w:r>
      <w:r>
        <w:t xml:space="preserve">% p.a. This incorporates a rate peg increase </w:t>
      </w:r>
      <w:r w:rsidR="00D30B6D">
        <w:t>plus</w:t>
      </w:r>
      <w:r>
        <w:t xml:space="preserve"> an </w:t>
      </w:r>
      <w:r w:rsidR="00D30B6D">
        <w:t>increase in rateable properties and overall seems reasonable.</w:t>
      </w:r>
    </w:p>
    <w:p w:rsidR="00010CA2" w:rsidRDefault="00010CA2" w:rsidP="00010CA2">
      <w:pPr>
        <w:pStyle w:val="Subtitle"/>
        <w:ind w:left="714" w:hanging="357"/>
      </w:pPr>
      <w:r>
        <w:t xml:space="preserve">User charges and fees are forecast to increase at </w:t>
      </w:r>
      <w:r w:rsidR="00D30B6D">
        <w:t xml:space="preserve">a </w:t>
      </w:r>
      <w:r>
        <w:t xml:space="preserve">rate of </w:t>
      </w:r>
      <w:r w:rsidR="00D30B6D">
        <w:t>3.8%</w:t>
      </w:r>
      <w:r>
        <w:t xml:space="preserve"> </w:t>
      </w:r>
      <w:r w:rsidR="00D30B6D">
        <w:t>to 6.7% year on year</w:t>
      </w:r>
      <w:r>
        <w:t>.  Council has stated that user charges and fees have been calculated according to the recovery cost of providing the services.  This seems higher than a gen</w:t>
      </w:r>
      <w:r w:rsidR="008915E3">
        <w:t>eral increase of 2.5% CPI plus</w:t>
      </w:r>
      <w:r>
        <w:t xml:space="preserve"> </w:t>
      </w:r>
      <w:r w:rsidR="00552BEC">
        <w:t>an allowance for</w:t>
      </w:r>
      <w:r>
        <w:t xml:space="preserve"> population growth.  However, given that the Council has the flexibility to adjust its user charges and fees, this assumption seem</w:t>
      </w:r>
      <w:r w:rsidR="008915E3">
        <w:t>s</w:t>
      </w:r>
      <w:r>
        <w:t xml:space="preserve"> reasonable if the community is willing to accommodate these increases.</w:t>
      </w:r>
    </w:p>
    <w:p w:rsidR="00010CA2" w:rsidRDefault="00010CA2" w:rsidP="00010CA2">
      <w:pPr>
        <w:pStyle w:val="Subtitle"/>
        <w:ind w:left="714" w:hanging="357"/>
      </w:pPr>
      <w:r>
        <w:t xml:space="preserve">Employee expenses are forecast </w:t>
      </w:r>
      <w:r w:rsidR="00552BEC">
        <w:t>to increase by an average of 3.3</w:t>
      </w:r>
      <w:r>
        <w:t>% p.a.  This is a reasonable assumption based on h</w:t>
      </w:r>
      <w:r w:rsidR="008915E3">
        <w:t xml:space="preserve">istorical award wages increases.  The LTFP </w:t>
      </w:r>
      <w:r>
        <w:t>does not take into account workforce growth to meet increasing service demands and to meet population growth.</w:t>
      </w:r>
    </w:p>
    <w:p w:rsidR="00B96B71" w:rsidRPr="008915E3" w:rsidRDefault="00010CA2" w:rsidP="00B96B71">
      <w:pPr>
        <w:pStyle w:val="Subtitle"/>
        <w:spacing w:line="276" w:lineRule="auto"/>
        <w:ind w:left="714" w:hanging="357"/>
        <w:rPr>
          <w:b/>
        </w:rPr>
      </w:pPr>
      <w:r>
        <w:t>Depreciation is forecast to increase by an average of 3.0% each year which seems reasonable given that the value of the assets should increase by around CPI plus a small addition of new assets every yea</w:t>
      </w:r>
      <w:r w:rsidR="008915E3">
        <w:t>r to cater for service growth.</w:t>
      </w:r>
    </w:p>
    <w:p w:rsidR="00B96B71" w:rsidRDefault="00B96B71" w:rsidP="00B96B71">
      <w:pPr>
        <w:spacing w:before="220" w:after="220" w:line="276" w:lineRule="auto"/>
        <w:rPr>
          <w:b/>
        </w:rPr>
        <w:sectPr w:rsidR="00B96B71" w:rsidSect="00F5008C">
          <w:headerReference w:type="default" r:id="rId22"/>
          <w:footerReference w:type="default" r:id="rId23"/>
          <w:headerReference w:type="first" r:id="rId24"/>
          <w:footerReference w:type="first" r:id="rId25"/>
          <w:pgSz w:w="11906" w:h="16838"/>
          <w:pgMar w:top="2637" w:right="1418" w:bottom="1134" w:left="2455" w:header="708" w:footer="708" w:gutter="0"/>
          <w:cols w:space="708"/>
          <w:titlePg/>
          <w:docGrid w:linePitch="360"/>
        </w:sectPr>
      </w:pPr>
    </w:p>
    <w:p w:rsidR="00B96B71" w:rsidRPr="00893E42" w:rsidRDefault="00B96B71" w:rsidP="00893E42">
      <w:pPr>
        <w:pStyle w:val="Heading2"/>
        <w:spacing w:before="220" w:after="220" w:line="280" w:lineRule="exact"/>
      </w:pPr>
      <w:bookmarkStart w:id="34" w:name="_Toc326918031"/>
      <w:r w:rsidRPr="00980AF9">
        <w:lastRenderedPageBreak/>
        <w:t>4.</w:t>
      </w:r>
      <w:r w:rsidR="00010CA2">
        <w:t>5</w:t>
      </w:r>
      <w:r w:rsidRPr="00980AF9">
        <w:t>:</w:t>
      </w:r>
      <w:r>
        <w:t xml:space="preserve">   Borrowing Capacity</w:t>
      </w:r>
      <w:bookmarkEnd w:id="34"/>
    </w:p>
    <w:p w:rsidR="008915E3" w:rsidRDefault="00C65314">
      <w:pPr>
        <w:pStyle w:val="Heading3"/>
        <w:rPr>
          <w:u w:val="none"/>
        </w:rPr>
      </w:pPr>
      <w:r>
        <w:rPr>
          <w:u w:val="none"/>
        </w:rPr>
        <w:t xml:space="preserve">When analysing the financial capacity of the Council we believe Council will be able to incorporate the </w:t>
      </w:r>
      <w:r w:rsidR="008915E3">
        <w:rPr>
          <w:u w:val="none"/>
        </w:rPr>
        <w:t xml:space="preserve">$2.0m </w:t>
      </w:r>
      <w:r>
        <w:rPr>
          <w:u w:val="none"/>
        </w:rPr>
        <w:t xml:space="preserve">LIRS loan facility </w:t>
      </w:r>
      <w:r w:rsidR="00ED5522">
        <w:rPr>
          <w:u w:val="none"/>
        </w:rPr>
        <w:t>but note its</w:t>
      </w:r>
      <w:r>
        <w:rPr>
          <w:u w:val="none"/>
        </w:rPr>
        <w:t xml:space="preserve"> forecast liquidity issues </w:t>
      </w:r>
      <w:r w:rsidR="00014FEC">
        <w:rPr>
          <w:u w:val="none"/>
        </w:rPr>
        <w:t xml:space="preserve">in the medium and long term </w:t>
      </w:r>
      <w:r w:rsidR="00ED5522">
        <w:rPr>
          <w:u w:val="none"/>
        </w:rPr>
        <w:t>need to be addressed and resolved</w:t>
      </w:r>
      <w:r>
        <w:rPr>
          <w:u w:val="none"/>
        </w:rPr>
        <w:t>.</w:t>
      </w:r>
      <w:r w:rsidR="008915E3">
        <w:rPr>
          <w:u w:val="none"/>
        </w:rPr>
        <w:t xml:space="preserve">  </w:t>
      </w:r>
      <w:r w:rsidR="00ED5522">
        <w:rPr>
          <w:u w:val="none"/>
        </w:rPr>
        <w:t>Our recommendation for approval</w:t>
      </w:r>
      <w:r w:rsidR="008915E3">
        <w:rPr>
          <w:u w:val="none"/>
        </w:rPr>
        <w:t xml:space="preserve"> is on the basis that its DSCR and Interest Cover Ratio are comfortably above benchmark.</w:t>
      </w:r>
    </w:p>
    <w:p w:rsidR="00426FBC" w:rsidRDefault="008915E3">
      <w:pPr>
        <w:pStyle w:val="Heading3"/>
      </w:pPr>
      <w:r>
        <w:rPr>
          <w:u w:val="none"/>
        </w:rPr>
        <w:t>Besides the liquidity issue, t</w:t>
      </w:r>
      <w:r w:rsidR="00014FEC">
        <w:rPr>
          <w:u w:val="none"/>
        </w:rPr>
        <w:t>he recommendation is also subject to the achievement of the target expenditure savings.  We would not recommend additional borrowings above the proposed LIRS borrowings until these issues are resolved</w:t>
      </w:r>
      <w:r>
        <w:rPr>
          <w:u w:val="none"/>
        </w:rPr>
        <w:t>.</w:t>
      </w:r>
    </w:p>
    <w:p w:rsidR="00014FEC" w:rsidRDefault="00014FEC">
      <w:pPr>
        <w:spacing w:before="0" w:after="0" w:line="240" w:lineRule="auto"/>
        <w:jc w:val="left"/>
        <w:rPr>
          <w:b/>
          <w:sz w:val="28"/>
          <w:szCs w:val="28"/>
        </w:rPr>
      </w:pPr>
      <w:r>
        <w:br w:type="page"/>
      </w:r>
    </w:p>
    <w:p w:rsidR="002C37F9" w:rsidRPr="002C37F9" w:rsidRDefault="002C37F9" w:rsidP="002C37F9">
      <w:pPr>
        <w:pStyle w:val="Heading1"/>
      </w:pPr>
      <w:r>
        <w:lastRenderedPageBreak/>
        <w:t xml:space="preserve">Section 5 </w:t>
      </w:r>
      <w:r w:rsidRPr="00E97C6D">
        <w:t>Benchmarking and Comparisons with Other Councils</w:t>
      </w:r>
    </w:p>
    <w:p w:rsidR="005C4209" w:rsidRDefault="005C4209" w:rsidP="005C4209">
      <w:r>
        <w:t xml:space="preserve">As discussed in section 2 of this report, each council’s performance has been assessed against ten key benchmark ratios.  This section of the report compares the Council’s performance with its peers in the same DLG Group.  The Council is in DLG Group 5 and there are six councils in this group.  </w:t>
      </w:r>
    </w:p>
    <w:p w:rsidR="005C4209" w:rsidRDefault="00C81FC8" w:rsidP="005C4209">
      <w:r>
        <w:t>In Figure 14</w:t>
      </w:r>
      <w:r w:rsidR="005C4209">
        <w:t xml:space="preserve"> to Figure 2</w:t>
      </w:r>
      <w:r>
        <w:t>0</w:t>
      </w:r>
      <w:r w:rsidR="005C4209">
        <w:t>, the graphs compare the historical performance of Council with the benchmark for that ratio, with the average for the Group, with the highest performance (or lowest performance in the case of the Infrastructure Backlog Ratio where a low ratio is an indicator of strong performance), and with the forecast position of the Council as at 2016 (as per Council’s LTFP).  Figures 2</w:t>
      </w:r>
      <w:r>
        <w:t>1</w:t>
      </w:r>
      <w:r w:rsidR="005C4209">
        <w:t xml:space="preserve"> to 2</w:t>
      </w:r>
      <w:r>
        <w:t>3</w:t>
      </w:r>
      <w:r w:rsidR="005C4209">
        <w:t xml:space="preserve"> do not include the 2016 forecast position as those numbers are not available.</w:t>
      </w:r>
    </w:p>
    <w:p w:rsidR="005C4209" w:rsidRDefault="005C4209" w:rsidP="005C4209">
      <w:r>
        <w:t>Where no highest line is shown on the graph, this means that Council is the best performer in its group for that Ratio.</w:t>
      </w:r>
    </w:p>
    <w:p w:rsidR="005C4209" w:rsidRDefault="005C4209" w:rsidP="005C4209"/>
    <w:p w:rsidR="005C4209" w:rsidRDefault="005C4209" w:rsidP="005C4209">
      <w:pPr>
        <w:spacing w:line="276" w:lineRule="auto"/>
        <w:rPr>
          <w:u w:val="single"/>
        </w:rPr>
      </w:pPr>
      <w:r>
        <w:rPr>
          <w:u w:val="single"/>
        </w:rPr>
        <w:t>Financial Flexibility</w:t>
      </w:r>
    </w:p>
    <w:p w:rsidR="002C37F9" w:rsidRDefault="00FC5A27" w:rsidP="00893E42">
      <w:pPr>
        <w:pStyle w:val="Heading3"/>
        <w:rPr>
          <w:u w:val="none"/>
        </w:rPr>
      </w:pPr>
      <w:r>
        <w:rPr>
          <w:noProof/>
          <w:u w:val="none"/>
        </w:rPr>
        <w:drawing>
          <wp:anchor distT="0" distB="0" distL="114300" distR="114300" simplePos="0" relativeHeight="251685888" behindDoc="0" locked="0" layoutInCell="1" allowOverlap="1">
            <wp:simplePos x="0" y="0"/>
            <wp:positionH relativeFrom="column">
              <wp:posOffset>19050</wp:posOffset>
            </wp:positionH>
            <wp:positionV relativeFrom="paragraph">
              <wp:posOffset>159385</wp:posOffset>
            </wp:positionV>
            <wp:extent cx="4578350" cy="278574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578350" cy="2785745"/>
                    </a:xfrm>
                    <a:prstGeom prst="rect">
                      <a:avLst/>
                    </a:prstGeom>
                    <a:noFill/>
                    <a:ln w="9525">
                      <a:noFill/>
                      <a:miter lim="800000"/>
                      <a:headEnd/>
                      <a:tailEnd/>
                    </a:ln>
                  </pic:spPr>
                </pic:pic>
              </a:graphicData>
            </a:graphic>
          </wp:anchor>
        </w:drawing>
      </w:r>
    </w:p>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D726CC" w:rsidRDefault="00D726CC" w:rsidP="00D726CC">
      <w:r>
        <w:t>Council’s Operating Ratio was above average</w:t>
      </w:r>
      <w:r w:rsidR="00A42A13">
        <w:t xml:space="preserve"> and the benchmark</w:t>
      </w:r>
      <w:r>
        <w:t xml:space="preserve"> in the past three years and close to the highest council.  The results are forecast to </w:t>
      </w:r>
      <w:r w:rsidR="00A42A13">
        <w:t>deteriorate</w:t>
      </w:r>
      <w:r>
        <w:t xml:space="preserve"> in the medium term </w:t>
      </w:r>
      <w:r w:rsidR="00A42A13">
        <w:t>to be below the</w:t>
      </w:r>
      <w:r>
        <w:t xml:space="preserve"> benchmark.</w:t>
      </w:r>
    </w:p>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220CBC" w:rsidP="00FE3EF4">
      <w:r w:rsidRPr="00220CBC">
        <w:rPr>
          <w:noProof/>
        </w:rPr>
        <w:lastRenderedPageBreak/>
        <w:drawing>
          <wp:anchor distT="0" distB="0" distL="114300" distR="114300" simplePos="0" relativeHeight="251686912" behindDoc="0" locked="0" layoutInCell="1" allowOverlap="1">
            <wp:simplePos x="0" y="0"/>
            <wp:positionH relativeFrom="column">
              <wp:posOffset>19050</wp:posOffset>
            </wp:positionH>
            <wp:positionV relativeFrom="paragraph">
              <wp:posOffset>121920</wp:posOffset>
            </wp:positionV>
            <wp:extent cx="4578350" cy="2760345"/>
            <wp:effectExtent l="1905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4578350" cy="2760345"/>
                    </a:xfrm>
                    <a:prstGeom prst="rect">
                      <a:avLst/>
                    </a:prstGeom>
                    <a:noFill/>
                    <a:ln w="9525">
                      <a:noFill/>
                      <a:miter lim="800000"/>
                      <a:headEnd/>
                      <a:tailEnd/>
                    </a:ln>
                  </pic:spPr>
                </pic:pic>
              </a:graphicData>
            </a:graphic>
          </wp:anchor>
        </w:drawing>
      </w:r>
    </w:p>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7D5FDC" w:rsidRDefault="007D5FDC" w:rsidP="007D5FDC">
      <w:r>
        <w:t xml:space="preserve">Council’s Own Source Operating Revenue Ratio was the best in the group and above the benchmark.  The ratio is forecast to improve further in the medium term in line with the group average. </w:t>
      </w:r>
    </w:p>
    <w:p w:rsidR="007D5FDC" w:rsidRDefault="007D5FDC" w:rsidP="007D5FDC"/>
    <w:p w:rsidR="007D5FDC" w:rsidRDefault="007D5FDC" w:rsidP="007D5FDC">
      <w:r>
        <w:t xml:space="preserve">Overall, Council’s financial flexibility is </w:t>
      </w:r>
      <w:r w:rsidR="001F7CD1">
        <w:t>sound</w:t>
      </w:r>
      <w:r w:rsidR="00504818">
        <w:t xml:space="preserve"> and is the best in the </w:t>
      </w:r>
      <w:r>
        <w:t>group.</w:t>
      </w:r>
    </w:p>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D31372" w:rsidRDefault="00D31372" w:rsidP="00D31372">
      <w:pPr>
        <w:spacing w:line="276" w:lineRule="auto"/>
        <w:rPr>
          <w:u w:val="single"/>
        </w:rPr>
      </w:pPr>
      <w:r>
        <w:rPr>
          <w:u w:val="single"/>
        </w:rPr>
        <w:lastRenderedPageBreak/>
        <w:t>Liquidity</w:t>
      </w:r>
    </w:p>
    <w:p w:rsidR="00FE3EF4" w:rsidRDefault="008D7F81" w:rsidP="00FE3EF4">
      <w:r>
        <w:rPr>
          <w:noProof/>
        </w:rPr>
        <w:drawing>
          <wp:anchor distT="0" distB="0" distL="114300" distR="114300" simplePos="0" relativeHeight="251687936" behindDoc="0" locked="0" layoutInCell="1" allowOverlap="1">
            <wp:simplePos x="0" y="0"/>
            <wp:positionH relativeFrom="column">
              <wp:posOffset>19050</wp:posOffset>
            </wp:positionH>
            <wp:positionV relativeFrom="paragraph">
              <wp:posOffset>146050</wp:posOffset>
            </wp:positionV>
            <wp:extent cx="4595495" cy="2527300"/>
            <wp:effectExtent l="1905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4595495" cy="2527300"/>
                    </a:xfrm>
                    <a:prstGeom prst="rect">
                      <a:avLst/>
                    </a:prstGeom>
                    <a:noFill/>
                    <a:ln w="9525">
                      <a:noFill/>
                      <a:miter lim="800000"/>
                      <a:headEnd/>
                      <a:tailEnd/>
                    </a:ln>
                  </pic:spPr>
                </pic:pic>
              </a:graphicData>
            </a:graphic>
          </wp:anchor>
        </w:drawing>
      </w:r>
    </w:p>
    <w:p w:rsidR="00D31372" w:rsidRDefault="00D31372"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2646DF" w:rsidP="00FE3EF4">
      <w:r>
        <w:rPr>
          <w:noProof/>
        </w:rPr>
        <w:drawing>
          <wp:anchor distT="0" distB="0" distL="114300" distR="114300" simplePos="0" relativeHeight="251688960" behindDoc="0" locked="0" layoutInCell="1" allowOverlap="1">
            <wp:simplePos x="0" y="0"/>
            <wp:positionH relativeFrom="column">
              <wp:posOffset>19050</wp:posOffset>
            </wp:positionH>
            <wp:positionV relativeFrom="paragraph">
              <wp:posOffset>74295</wp:posOffset>
            </wp:positionV>
            <wp:extent cx="4578350" cy="2734310"/>
            <wp:effectExtent l="1905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578350" cy="2734310"/>
                    </a:xfrm>
                    <a:prstGeom prst="rect">
                      <a:avLst/>
                    </a:prstGeom>
                    <a:noFill/>
                    <a:ln w="9525">
                      <a:noFill/>
                      <a:miter lim="800000"/>
                      <a:headEnd/>
                      <a:tailEnd/>
                    </a:ln>
                  </pic:spPr>
                </pic:pic>
              </a:graphicData>
            </a:graphic>
          </wp:anchor>
        </w:drawing>
      </w:r>
    </w:p>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D147ED" w:rsidRDefault="00D147ED" w:rsidP="00D147ED">
      <w:pPr>
        <w:spacing w:before="0" w:after="200" w:line="276" w:lineRule="auto"/>
        <w:jc w:val="left"/>
      </w:pPr>
      <w:r w:rsidRPr="00895F73">
        <w:t>On aver</w:t>
      </w:r>
      <w:r>
        <w:t xml:space="preserve">age over the past three years, the Council’s liquidity position has been </w:t>
      </w:r>
      <w:r w:rsidR="00504818">
        <w:t>adequate</w:t>
      </w:r>
      <w:r>
        <w:t>.</w:t>
      </w:r>
      <w:r w:rsidR="001249EA">
        <w:t xml:space="preserve">  Council did not provide a forecast Unrestricted Current Ratio, but their Cash Expense Ratio is forecast to deteriorate in the medium term.</w:t>
      </w:r>
    </w:p>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9C54D6" w:rsidRDefault="005F567C" w:rsidP="009C54D6">
      <w:pPr>
        <w:spacing w:line="276" w:lineRule="auto"/>
        <w:rPr>
          <w:u w:val="single"/>
        </w:rPr>
      </w:pPr>
      <w:r>
        <w:rPr>
          <w:noProof/>
          <w:u w:val="single"/>
        </w:rPr>
        <w:lastRenderedPageBreak/>
        <w:drawing>
          <wp:anchor distT="0" distB="0" distL="114300" distR="114300" simplePos="0" relativeHeight="251689984" behindDoc="0" locked="0" layoutInCell="1" allowOverlap="1">
            <wp:simplePos x="0" y="0"/>
            <wp:positionH relativeFrom="column">
              <wp:posOffset>15875</wp:posOffset>
            </wp:positionH>
            <wp:positionV relativeFrom="paragraph">
              <wp:posOffset>406400</wp:posOffset>
            </wp:positionV>
            <wp:extent cx="4582160" cy="2760345"/>
            <wp:effectExtent l="19050" t="0" r="8890" b="0"/>
            <wp:wrapSquare wrapText="bothSides"/>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4582160" cy="2760345"/>
                    </a:xfrm>
                    <a:prstGeom prst="rect">
                      <a:avLst/>
                    </a:prstGeom>
                    <a:noFill/>
                    <a:ln w="9525">
                      <a:noFill/>
                      <a:miter lim="800000"/>
                      <a:headEnd/>
                      <a:tailEnd/>
                    </a:ln>
                  </pic:spPr>
                </pic:pic>
              </a:graphicData>
            </a:graphic>
          </wp:anchor>
        </w:drawing>
      </w:r>
      <w:r w:rsidR="009C54D6">
        <w:rPr>
          <w:u w:val="single"/>
        </w:rPr>
        <w:t>Debt Servicing</w:t>
      </w:r>
    </w:p>
    <w:p w:rsidR="00FE3EF4" w:rsidRDefault="00FE3EF4"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3473CA" w:rsidP="00FE3EF4">
      <w:r>
        <w:rPr>
          <w:noProof/>
        </w:rPr>
        <w:drawing>
          <wp:anchor distT="0" distB="0" distL="114300" distR="114300" simplePos="0" relativeHeight="251691008" behindDoc="0" locked="0" layoutInCell="1" allowOverlap="1">
            <wp:simplePos x="0" y="0"/>
            <wp:positionH relativeFrom="column">
              <wp:posOffset>19685</wp:posOffset>
            </wp:positionH>
            <wp:positionV relativeFrom="paragraph">
              <wp:posOffset>238125</wp:posOffset>
            </wp:positionV>
            <wp:extent cx="4578350" cy="2760345"/>
            <wp:effectExtent l="19050" t="0" r="0" b="0"/>
            <wp:wrapSquare wrapText="bothSides"/>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4578350" cy="2760345"/>
                    </a:xfrm>
                    <a:prstGeom prst="rect">
                      <a:avLst/>
                    </a:prstGeom>
                    <a:noFill/>
                    <a:ln w="9525">
                      <a:noFill/>
                      <a:miter lim="800000"/>
                      <a:headEnd/>
                      <a:tailEnd/>
                    </a:ln>
                  </pic:spPr>
                </pic:pic>
              </a:graphicData>
            </a:graphic>
          </wp:anchor>
        </w:drawing>
      </w:r>
    </w:p>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B77EFF" w:rsidRDefault="00B77EFF" w:rsidP="00B77EFF">
      <w:pPr>
        <w:spacing w:line="276" w:lineRule="auto"/>
      </w:pPr>
      <w:r>
        <w:t xml:space="preserve">Council had above benchmark DSCR and Interest Cover Ratio in the past that is below the group average </w:t>
      </w:r>
      <w:r w:rsidR="00E52E3C">
        <w:t>and</w:t>
      </w:r>
      <w:r>
        <w:t xml:space="preserve"> </w:t>
      </w:r>
      <w:r w:rsidR="00E52E3C">
        <w:t xml:space="preserve">the ratios </w:t>
      </w:r>
      <w:r>
        <w:t>marginally deteriorate</w:t>
      </w:r>
      <w:r w:rsidR="00E52E3C">
        <w:t xml:space="preserve"> </w:t>
      </w:r>
      <w:r>
        <w:t xml:space="preserve">in the forecast.  </w:t>
      </w:r>
    </w:p>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DA1540" w:rsidRDefault="00AC0A27" w:rsidP="00DA1540">
      <w:pPr>
        <w:spacing w:line="276" w:lineRule="auto"/>
        <w:rPr>
          <w:u w:val="single"/>
        </w:rPr>
      </w:pPr>
      <w:r>
        <w:rPr>
          <w:noProof/>
          <w:u w:val="single"/>
        </w:rPr>
        <w:lastRenderedPageBreak/>
        <w:drawing>
          <wp:anchor distT="0" distB="0" distL="114300" distR="114300" simplePos="0" relativeHeight="251692032" behindDoc="0" locked="0" layoutInCell="1" allowOverlap="1">
            <wp:simplePos x="0" y="0"/>
            <wp:positionH relativeFrom="column">
              <wp:posOffset>19050</wp:posOffset>
            </wp:positionH>
            <wp:positionV relativeFrom="paragraph">
              <wp:posOffset>406400</wp:posOffset>
            </wp:positionV>
            <wp:extent cx="4582160" cy="2760345"/>
            <wp:effectExtent l="19050" t="0" r="8890" b="0"/>
            <wp:wrapSquare wrapText="bothSides"/>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4582160" cy="2760345"/>
                    </a:xfrm>
                    <a:prstGeom prst="rect">
                      <a:avLst/>
                    </a:prstGeom>
                    <a:noFill/>
                    <a:ln w="9525">
                      <a:noFill/>
                      <a:miter lim="800000"/>
                      <a:headEnd/>
                      <a:tailEnd/>
                    </a:ln>
                  </pic:spPr>
                </pic:pic>
              </a:graphicData>
            </a:graphic>
          </wp:anchor>
        </w:drawing>
      </w:r>
      <w:r w:rsidR="00DA1540">
        <w:rPr>
          <w:u w:val="single"/>
        </w:rPr>
        <w:t>Asset Renewal and Capital Works</w:t>
      </w:r>
    </w:p>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9C54D6" w:rsidP="00FE3EF4"/>
    <w:p w:rsidR="009C54D6" w:rsidRDefault="00665CCE" w:rsidP="00FE3EF4">
      <w:r>
        <w:rPr>
          <w:noProof/>
        </w:rPr>
        <w:drawing>
          <wp:anchor distT="0" distB="0" distL="114300" distR="114300" simplePos="0" relativeHeight="251693056" behindDoc="0" locked="0" layoutInCell="1" allowOverlap="1">
            <wp:simplePos x="0" y="0"/>
            <wp:positionH relativeFrom="column">
              <wp:posOffset>19050</wp:posOffset>
            </wp:positionH>
            <wp:positionV relativeFrom="paragraph">
              <wp:posOffset>44450</wp:posOffset>
            </wp:positionV>
            <wp:extent cx="4578350" cy="2760345"/>
            <wp:effectExtent l="19050" t="0" r="0" b="0"/>
            <wp:wrapSquare wrapText="bothSides"/>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4578350" cy="2760345"/>
                    </a:xfrm>
                    <a:prstGeom prst="rect">
                      <a:avLst/>
                    </a:prstGeom>
                    <a:noFill/>
                    <a:ln w="9525">
                      <a:noFill/>
                      <a:miter lim="800000"/>
                      <a:headEnd/>
                      <a:tailEnd/>
                    </a:ln>
                  </pic:spPr>
                </pic:pic>
              </a:graphicData>
            </a:graphic>
          </wp:anchor>
        </w:drawing>
      </w:r>
    </w:p>
    <w:p w:rsidR="009C54D6" w:rsidRDefault="009C54D6"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FE3EF4" w:rsidP="00FE3EF4"/>
    <w:p w:rsidR="00FE3EF4" w:rsidRDefault="00282DDE" w:rsidP="00FE3EF4">
      <w:r w:rsidRPr="00282DDE">
        <w:rPr>
          <w:noProof/>
        </w:rPr>
        <w:lastRenderedPageBreak/>
        <w:drawing>
          <wp:anchor distT="0" distB="0" distL="114300" distR="114300" simplePos="0" relativeHeight="251694080" behindDoc="0" locked="0" layoutInCell="1" allowOverlap="1">
            <wp:simplePos x="0" y="0"/>
            <wp:positionH relativeFrom="column">
              <wp:posOffset>15240</wp:posOffset>
            </wp:positionH>
            <wp:positionV relativeFrom="paragraph">
              <wp:posOffset>86995</wp:posOffset>
            </wp:positionV>
            <wp:extent cx="4582160" cy="2760345"/>
            <wp:effectExtent l="19050" t="0" r="8890" b="0"/>
            <wp:wrapSquare wrapText="bothSides"/>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4582160" cy="2760345"/>
                    </a:xfrm>
                    <a:prstGeom prst="rect">
                      <a:avLst/>
                    </a:prstGeom>
                    <a:noFill/>
                    <a:ln w="9525">
                      <a:noFill/>
                      <a:miter lim="800000"/>
                      <a:headEnd/>
                      <a:tailEnd/>
                    </a:ln>
                  </pic:spPr>
                </pic:pic>
              </a:graphicData>
            </a:graphic>
          </wp:anchor>
        </w:drawing>
      </w:r>
    </w:p>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F030D1" w:rsidP="00FE3EF4">
      <w:r>
        <w:rPr>
          <w:noProof/>
        </w:rPr>
        <w:drawing>
          <wp:anchor distT="0" distB="0" distL="114300" distR="114300" simplePos="0" relativeHeight="251695104" behindDoc="0" locked="0" layoutInCell="1" allowOverlap="1">
            <wp:simplePos x="0" y="0"/>
            <wp:positionH relativeFrom="column">
              <wp:posOffset>19050</wp:posOffset>
            </wp:positionH>
            <wp:positionV relativeFrom="paragraph">
              <wp:posOffset>205105</wp:posOffset>
            </wp:positionV>
            <wp:extent cx="4578350" cy="2760345"/>
            <wp:effectExtent l="19050" t="0" r="0" b="0"/>
            <wp:wrapSquare wrapText="bothSides"/>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srcRect/>
                    <a:stretch>
                      <a:fillRect/>
                    </a:stretch>
                  </pic:blipFill>
                  <pic:spPr bwMode="auto">
                    <a:xfrm>
                      <a:off x="0" y="0"/>
                      <a:ext cx="4578350" cy="2760345"/>
                    </a:xfrm>
                    <a:prstGeom prst="rect">
                      <a:avLst/>
                    </a:prstGeom>
                    <a:noFill/>
                    <a:ln w="9525">
                      <a:noFill/>
                      <a:miter lim="800000"/>
                      <a:headEnd/>
                      <a:tailEnd/>
                    </a:ln>
                  </pic:spPr>
                </pic:pic>
              </a:graphicData>
            </a:graphic>
          </wp:anchor>
        </w:drawing>
      </w:r>
    </w:p>
    <w:p w:rsidR="005423B3" w:rsidRDefault="005423B3"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C9194C" w:rsidRDefault="00C9194C" w:rsidP="00FE3EF4"/>
    <w:p w:rsidR="00504818" w:rsidRDefault="00822132" w:rsidP="00822132">
      <w:pPr>
        <w:spacing w:line="276" w:lineRule="auto"/>
      </w:pPr>
      <w:r w:rsidRPr="005E7031">
        <w:t>Overall,</w:t>
      </w:r>
      <w:r>
        <w:t xml:space="preserve"> the Council has </w:t>
      </w:r>
      <w:r w:rsidR="00093CBC">
        <w:t>the lowest Infrastructure Backlog in the</w:t>
      </w:r>
      <w:r>
        <w:t xml:space="preserve"> group.  </w:t>
      </w:r>
    </w:p>
    <w:p w:rsidR="00504818" w:rsidRDefault="00504818" w:rsidP="00822132">
      <w:pPr>
        <w:spacing w:line="276" w:lineRule="auto"/>
      </w:pPr>
    </w:p>
    <w:p w:rsidR="00822132" w:rsidRDefault="00504818" w:rsidP="00822132">
      <w:pPr>
        <w:spacing w:line="276" w:lineRule="auto"/>
      </w:pPr>
      <w:r>
        <w:t>Council</w:t>
      </w:r>
      <w:r w:rsidR="00822132">
        <w:t xml:space="preserve"> is </w:t>
      </w:r>
      <w:r w:rsidR="00093CBC">
        <w:t>below the</w:t>
      </w:r>
      <w:r w:rsidR="00822132">
        <w:t xml:space="preserve"> group</w:t>
      </w:r>
      <w:r w:rsidR="00093CBC">
        <w:t xml:space="preserve"> average and benchmark</w:t>
      </w:r>
      <w:r w:rsidR="00822132">
        <w:t xml:space="preserve"> in terms of spending on building and infrastructure asset renewal</w:t>
      </w:r>
      <w:r w:rsidR="00093CBC">
        <w:t xml:space="preserve"> and asset maintenance</w:t>
      </w:r>
      <w:r w:rsidR="00822132">
        <w:t xml:space="preserve">.  </w:t>
      </w:r>
      <w:r w:rsidR="00093CBC">
        <w:t>T</w:t>
      </w:r>
      <w:r w:rsidR="00822132">
        <w:t xml:space="preserve">he Council’s capital expenditure </w:t>
      </w:r>
      <w:r w:rsidR="00093CBC">
        <w:t>declined to be</w:t>
      </w:r>
      <w:r w:rsidR="00822132">
        <w:t xml:space="preserve"> below</w:t>
      </w:r>
      <w:r w:rsidR="00093CBC">
        <w:t xml:space="preserve"> the benchmark in 2011 and was</w:t>
      </w:r>
      <w:r w:rsidR="00822132">
        <w:t xml:space="preserve"> </w:t>
      </w:r>
      <w:r w:rsidR="00093CBC">
        <w:t xml:space="preserve">below </w:t>
      </w:r>
      <w:r w:rsidR="00822132">
        <w:t>the group average</w:t>
      </w:r>
      <w:r w:rsidR="00093CBC">
        <w:t>, though it is forecast to improve to be around the group average and above the benchmark in the medium term</w:t>
      </w:r>
      <w:r w:rsidR="00822132">
        <w:t>.</w:t>
      </w:r>
      <w:r w:rsidR="00093CBC">
        <w:t xml:space="preserve">  </w:t>
      </w:r>
      <w:r w:rsidR="00822132">
        <w:t xml:space="preserve">  </w:t>
      </w:r>
    </w:p>
    <w:p w:rsidR="00C9194C" w:rsidRDefault="00C9194C" w:rsidP="00FE3EF4"/>
    <w:p w:rsidR="00093CBC" w:rsidRDefault="00093CBC" w:rsidP="00FE3EF4"/>
    <w:p w:rsidR="002C37F9" w:rsidRPr="002C37F9" w:rsidRDefault="002C37F9" w:rsidP="002C37F9">
      <w:pPr>
        <w:pStyle w:val="Heading1"/>
      </w:pPr>
      <w:r>
        <w:lastRenderedPageBreak/>
        <w:t>Section 6 Conclusion and Recommendations</w:t>
      </w:r>
    </w:p>
    <w:p w:rsidR="00426FBC" w:rsidRDefault="00C65314">
      <w:pPr>
        <w:pStyle w:val="Heading3"/>
      </w:pPr>
      <w:r>
        <w:rPr>
          <w:u w:val="none"/>
        </w:rPr>
        <w:t>Based on our review of both the historic financial information and the 10 year financial forecast within Council’s long term financial plan we consider Council to be in a reasonably sound financial position if the proposed expenditure reductions are realised and its liquidity issues in the forecast medium term are resolved.  Both past performance and the financial forecasts support our findings that Council has sufficient financial capacity to service the additional borrowings proposed under its LIRS applications.</w:t>
      </w:r>
    </w:p>
    <w:p w:rsidR="00426FBC" w:rsidRDefault="00C65314">
      <w:pPr>
        <w:pStyle w:val="Heading3"/>
      </w:pPr>
      <w:r>
        <w:rPr>
          <w:u w:val="none"/>
        </w:rPr>
        <w:t>As noted in our report, the forecast analysis has been focussed on the General Fund where the LIRS application relates to, whereas the historical analysis has focused on the consolidated audited accounts.</w:t>
      </w:r>
    </w:p>
    <w:p w:rsidR="00426FBC" w:rsidRDefault="00C65314">
      <w:pPr>
        <w:pStyle w:val="Heading3"/>
      </w:pPr>
      <w:r>
        <w:rPr>
          <w:u w:val="none"/>
        </w:rPr>
        <w:t>We based our recommendation on the following key points:</w:t>
      </w:r>
    </w:p>
    <w:p w:rsidR="00010CA2" w:rsidRDefault="00010CA2" w:rsidP="00010CA2">
      <w:pPr>
        <w:pStyle w:val="ListParagraph"/>
        <w:numPr>
          <w:ilvl w:val="0"/>
          <w:numId w:val="1"/>
        </w:numPr>
        <w:ind w:left="714" w:hanging="357"/>
      </w:pPr>
      <w:r>
        <w:t>Council has sufficient capacity to manage the additional $2.0m debt highlighted by a DSCR and Interest Cover Ratio above the benchmarks in all 10 years of its financial forecast.</w:t>
      </w:r>
    </w:p>
    <w:p w:rsidR="00010CA2" w:rsidRDefault="00010CA2" w:rsidP="00010CA2">
      <w:pPr>
        <w:pStyle w:val="ListParagraph"/>
        <w:numPr>
          <w:ilvl w:val="0"/>
          <w:numId w:val="1"/>
        </w:numPr>
        <w:ind w:left="714" w:hanging="357"/>
      </w:pPr>
      <w:r>
        <w:t>Council has a high level of own sourced income and is not heavily reliant on grants and contributions compared to most Councils.</w:t>
      </w:r>
    </w:p>
    <w:p w:rsidR="00C43D48" w:rsidRDefault="00010CA2" w:rsidP="00010CA2">
      <w:pPr>
        <w:pStyle w:val="ListParagraph"/>
        <w:numPr>
          <w:ilvl w:val="0"/>
          <w:numId w:val="1"/>
        </w:numPr>
        <w:ind w:left="714" w:hanging="357"/>
      </w:pPr>
      <w:r>
        <w:t xml:space="preserve">Council has a low level of borrowings </w:t>
      </w:r>
      <w:r w:rsidR="00C43D48">
        <w:t>of 2.6</w:t>
      </w:r>
      <w:r>
        <w:t xml:space="preserve">% of </w:t>
      </w:r>
      <w:r w:rsidR="00C43D48">
        <w:t>the General Fund’s net assets</w:t>
      </w:r>
    </w:p>
    <w:p w:rsidR="00010CA2" w:rsidRDefault="00C43D48" w:rsidP="00010CA2">
      <w:pPr>
        <w:pStyle w:val="ListParagraph"/>
        <w:numPr>
          <w:ilvl w:val="0"/>
          <w:numId w:val="1"/>
        </w:numPr>
        <w:ind w:left="714" w:hanging="357"/>
      </w:pPr>
      <w:r>
        <w:t>M</w:t>
      </w:r>
      <w:r w:rsidR="00010CA2">
        <w:t xml:space="preserve">ost of the borrowings </w:t>
      </w:r>
      <w:r>
        <w:t xml:space="preserve">in the Consolidated Funds </w:t>
      </w:r>
      <w:r w:rsidR="00010CA2">
        <w:t xml:space="preserve">relate to the </w:t>
      </w:r>
      <w:r>
        <w:t>S</w:t>
      </w:r>
      <w:r w:rsidR="00010CA2">
        <w:t xml:space="preserve">ewerage </w:t>
      </w:r>
      <w:r>
        <w:t>Fund which is self sufficient</w:t>
      </w:r>
    </w:p>
    <w:p w:rsidR="00426FBC" w:rsidRDefault="00C65314">
      <w:pPr>
        <w:pStyle w:val="Heading3"/>
      </w:pPr>
      <w:r>
        <w:rPr>
          <w:u w:val="none"/>
        </w:rPr>
        <w:t xml:space="preserve">However we would also recommend that the following points be considered: </w:t>
      </w:r>
    </w:p>
    <w:p w:rsidR="00C43D48" w:rsidRPr="00C43D48" w:rsidRDefault="00010CA2" w:rsidP="00C43D48">
      <w:pPr>
        <w:pStyle w:val="ListParagraph"/>
        <w:numPr>
          <w:ilvl w:val="0"/>
          <w:numId w:val="1"/>
        </w:numPr>
        <w:ind w:left="714" w:hanging="357"/>
      </w:pPr>
      <w:r>
        <w:t>Council’s forecast that it may face liquidity issues in the medium</w:t>
      </w:r>
      <w:r w:rsidR="00ED5522">
        <w:t xml:space="preserve"> to long</w:t>
      </w:r>
      <w:r>
        <w:t xml:space="preserve"> term.  This is indicated by very low Unrestricted Current Ratio and Cash Expense Ratio</w:t>
      </w:r>
      <w:r w:rsidR="00C43D48">
        <w:t xml:space="preserve"> which falls to negative levels in later years</w:t>
      </w:r>
      <w:r>
        <w:t>.</w:t>
      </w:r>
    </w:p>
    <w:p w:rsidR="00980AF9" w:rsidRPr="00C43D48" w:rsidRDefault="00010CA2" w:rsidP="00C43D48">
      <w:pPr>
        <w:pStyle w:val="ListParagraph"/>
        <w:numPr>
          <w:ilvl w:val="0"/>
          <w:numId w:val="1"/>
        </w:numPr>
        <w:ind w:left="714" w:hanging="357"/>
      </w:pPr>
      <w:r>
        <w:t xml:space="preserve">Operating </w:t>
      </w:r>
      <w:r w:rsidR="00C43D48">
        <w:t xml:space="preserve">deficits </w:t>
      </w:r>
      <w:r>
        <w:t>are foreca</w:t>
      </w:r>
      <w:r w:rsidR="00C43D48">
        <w:t>st in the current 10 year model and Council is reliant on meeting its expenditure savings and productivity improvements to reach the forecast results.</w:t>
      </w:r>
      <w:r w:rsidR="00117383">
        <w:t xml:space="preserve">  The declining result is not a sustainable trend.</w:t>
      </w:r>
    </w:p>
    <w:p w:rsidR="00B96B71" w:rsidRDefault="00B96B71" w:rsidP="00980AF9">
      <w:pPr>
        <w:spacing w:before="220" w:after="220" w:line="276" w:lineRule="auto"/>
        <w:rPr>
          <w:b/>
        </w:rPr>
      </w:pPr>
    </w:p>
    <w:p w:rsidR="00B96B71" w:rsidRDefault="00B96B71" w:rsidP="00980AF9">
      <w:pPr>
        <w:spacing w:before="220" w:after="220" w:line="276" w:lineRule="auto"/>
        <w:rPr>
          <w:b/>
        </w:rPr>
      </w:pPr>
    </w:p>
    <w:p w:rsidR="003D5DCE" w:rsidRPr="00893E42" w:rsidRDefault="00052A63" w:rsidP="00893E42">
      <w:pPr>
        <w:pStyle w:val="Heading1"/>
      </w:pPr>
      <w:r>
        <w:rPr>
          <w:b w:val="0"/>
        </w:rPr>
        <w:br w:type="page"/>
      </w:r>
      <w:bookmarkStart w:id="35" w:name="_Toc326918032"/>
      <w:r w:rsidR="00D949B7" w:rsidRPr="00DD50B6">
        <w:lastRenderedPageBreak/>
        <w:t>Appendix A</w:t>
      </w:r>
      <w:r w:rsidR="00DD50B6">
        <w:tab/>
      </w:r>
      <w:r w:rsidR="00D949B7" w:rsidRPr="00DD50B6">
        <w:t>Historical F</w:t>
      </w:r>
      <w:r w:rsidR="006356BC" w:rsidRPr="00DD50B6">
        <w:t>inancial</w:t>
      </w:r>
      <w:r w:rsidR="00D949B7" w:rsidRPr="00DD50B6">
        <w:t xml:space="preserve"> Information</w:t>
      </w:r>
      <w:r w:rsidR="00D24DE7" w:rsidRPr="00DD50B6">
        <w:t xml:space="preserve"> Tables</w:t>
      </w:r>
      <w:bookmarkEnd w:id="35"/>
    </w:p>
    <w:p w:rsidR="003D5DCE" w:rsidRPr="003B6962" w:rsidRDefault="00D949B7" w:rsidP="00374A23">
      <w:pPr>
        <w:pStyle w:val="Heading3"/>
      </w:pPr>
      <w:r w:rsidRPr="003B6962">
        <w:t>Table 1</w:t>
      </w:r>
      <w:r w:rsidR="003B6962">
        <w:t>-</w:t>
      </w:r>
      <w:r w:rsidRPr="003B6962">
        <w:tab/>
        <w:t>Income Statement</w:t>
      </w:r>
    </w:p>
    <w:tbl>
      <w:tblPr>
        <w:tblW w:w="0" w:type="auto"/>
        <w:jc w:val="center"/>
        <w:tblLayout w:type="fixed"/>
        <w:tblLook w:val="04A0" w:firstRow="1" w:lastRow="0" w:firstColumn="1" w:lastColumn="0" w:noHBand="0" w:noVBand="1"/>
      </w:tblPr>
      <w:tblGrid>
        <w:gridCol w:w="2693"/>
        <w:gridCol w:w="1087"/>
        <w:gridCol w:w="1087"/>
        <w:gridCol w:w="1087"/>
        <w:gridCol w:w="1105"/>
        <w:gridCol w:w="1105"/>
      </w:tblGrid>
      <w:tr w:rsidR="003D5DCE" w:rsidRPr="00A8536E" w:rsidTr="003B6962">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BACFF8"/>
            <w:noWrap/>
            <w:vAlign w:val="bottom"/>
            <w:hideMark/>
          </w:tcPr>
          <w:p w:rsidR="003D5DCE" w:rsidRPr="00374A23" w:rsidRDefault="00D24DE7" w:rsidP="003D5DCE">
            <w:pPr>
              <w:spacing w:before="40" w:after="40" w:line="240" w:lineRule="auto"/>
              <w:jc w:val="left"/>
              <w:rPr>
                <w:rStyle w:val="Emphasis"/>
              </w:rPr>
            </w:pPr>
            <w:r w:rsidRPr="00374A23">
              <w:rPr>
                <w:rStyle w:val="Emphasis"/>
              </w:rPr>
              <w:t>Income Statement ($'000</w:t>
            </w:r>
            <w:r w:rsidR="003D5DCE" w:rsidRPr="00374A23">
              <w:rPr>
                <w:rStyle w:val="Emphasis"/>
              </w:rPr>
              <w:t>)</w:t>
            </w:r>
          </w:p>
        </w:tc>
        <w:tc>
          <w:tcPr>
            <w:tcW w:w="3261" w:type="dxa"/>
            <w:gridSpan w:val="3"/>
            <w:tcBorders>
              <w:top w:val="single" w:sz="4" w:space="0" w:color="auto"/>
              <w:left w:val="nil"/>
              <w:bottom w:val="single" w:sz="4" w:space="0" w:color="auto"/>
              <w:right w:val="single" w:sz="4" w:space="0" w:color="auto"/>
            </w:tcBorders>
            <w:shd w:val="clear" w:color="000000" w:fill="BACFF8"/>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Year ended 30 June</w:t>
            </w:r>
          </w:p>
        </w:tc>
        <w:tc>
          <w:tcPr>
            <w:tcW w:w="2210" w:type="dxa"/>
            <w:gridSpan w:val="2"/>
            <w:tcBorders>
              <w:top w:val="single" w:sz="4" w:space="0" w:color="auto"/>
              <w:left w:val="nil"/>
              <w:bottom w:val="single" w:sz="4" w:space="0" w:color="auto"/>
              <w:right w:val="single" w:sz="4" w:space="0" w:color="auto"/>
            </w:tcBorders>
            <w:shd w:val="clear" w:color="000000" w:fill="BACFF8"/>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 annual change</w:t>
            </w:r>
          </w:p>
        </w:tc>
      </w:tr>
      <w:tr w:rsidR="003D5DCE" w:rsidRPr="00A8536E" w:rsidTr="003B6962">
        <w:trPr>
          <w:trHeight w:val="300"/>
          <w:jc w:val="center"/>
        </w:trPr>
        <w:tc>
          <w:tcPr>
            <w:tcW w:w="2693" w:type="dxa"/>
            <w:tcBorders>
              <w:top w:val="nil"/>
              <w:left w:val="single" w:sz="4" w:space="0" w:color="auto"/>
              <w:bottom w:val="single" w:sz="4" w:space="0" w:color="auto"/>
              <w:right w:val="single" w:sz="4" w:space="0" w:color="auto"/>
            </w:tcBorders>
            <w:shd w:val="clear" w:color="000000" w:fill="FFFFFF"/>
            <w:noWrap/>
            <w:vAlign w:val="bottom"/>
            <w:hideMark/>
          </w:tcPr>
          <w:p w:rsidR="003D5DCE" w:rsidRPr="0018106F" w:rsidRDefault="003D5DCE" w:rsidP="003D5DCE">
            <w:pPr>
              <w:spacing w:before="40" w:after="40" w:line="240" w:lineRule="auto"/>
              <w:jc w:val="left"/>
              <w:rPr>
                <w:color w:val="000000"/>
                <w:spacing w:val="0"/>
                <w:kern w:val="0"/>
              </w:rPr>
            </w:pPr>
          </w:p>
        </w:tc>
        <w:tc>
          <w:tcPr>
            <w:tcW w:w="1087"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2011</w:t>
            </w:r>
          </w:p>
        </w:tc>
        <w:tc>
          <w:tcPr>
            <w:tcW w:w="1087"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2010</w:t>
            </w:r>
          </w:p>
        </w:tc>
        <w:tc>
          <w:tcPr>
            <w:tcW w:w="1087"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2009</w:t>
            </w:r>
          </w:p>
        </w:tc>
        <w:tc>
          <w:tcPr>
            <w:tcW w:w="1105"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2011</w:t>
            </w:r>
          </w:p>
        </w:tc>
        <w:tc>
          <w:tcPr>
            <w:tcW w:w="1105"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2010</w:t>
            </w:r>
          </w:p>
        </w:tc>
      </w:tr>
      <w:tr w:rsidR="003D5DCE" w:rsidRPr="00A8536E" w:rsidTr="003B6962">
        <w:trPr>
          <w:trHeight w:val="300"/>
          <w:jc w:val="center"/>
        </w:trPr>
        <w:tc>
          <w:tcPr>
            <w:tcW w:w="8164" w:type="dxa"/>
            <w:gridSpan w:val="6"/>
            <w:tcBorders>
              <w:top w:val="nil"/>
              <w:left w:val="single" w:sz="4" w:space="0" w:color="auto"/>
              <w:bottom w:val="single" w:sz="4" w:space="0" w:color="auto"/>
              <w:right w:val="single" w:sz="4" w:space="0" w:color="auto"/>
            </w:tcBorders>
            <w:shd w:val="clear" w:color="auto" w:fill="EBF2FA"/>
            <w:noWrap/>
            <w:vAlign w:val="bottom"/>
            <w:hideMark/>
          </w:tcPr>
          <w:p w:rsidR="003D5DCE" w:rsidRPr="00374A23" w:rsidRDefault="003D5DCE" w:rsidP="003D5DCE">
            <w:pPr>
              <w:spacing w:before="40" w:after="40" w:line="240" w:lineRule="auto"/>
              <w:jc w:val="left"/>
              <w:rPr>
                <w:rStyle w:val="Emphasis"/>
              </w:rPr>
            </w:pPr>
            <w:r w:rsidRPr="00374A23">
              <w:rPr>
                <w:rStyle w:val="Emphasis"/>
              </w:rPr>
              <w:t>Revenue</w:t>
            </w:r>
          </w:p>
        </w:tc>
      </w:tr>
      <w:tr w:rsidR="00010CA2" w:rsidRPr="00A8536E" w:rsidTr="00010CA2">
        <w:trPr>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Rates and annual charges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90,457</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85,961</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80,626</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5.2%</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6.6%</w:t>
            </w:r>
          </w:p>
        </w:tc>
      </w:tr>
      <w:tr w:rsidR="00010CA2" w:rsidRPr="00A8536E" w:rsidTr="00010CA2">
        <w:trPr>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User charges and fees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49,126</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47,512</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44,016</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3.4%</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7.9%</w:t>
            </w:r>
          </w:p>
        </w:tc>
      </w:tr>
      <w:tr w:rsidR="00010CA2" w:rsidRPr="00A8536E" w:rsidTr="00010CA2">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Interest and investment revenue</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7,043</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6,408</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7,627</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9.9%</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(16.0%)</w:t>
            </w:r>
          </w:p>
        </w:tc>
      </w:tr>
      <w:tr w:rsidR="00010CA2" w:rsidRPr="00A8536E" w:rsidTr="00010CA2">
        <w:trPr>
          <w:trHeight w:val="6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Grants and contributions for operating purposes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21,261</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17,610</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20,917</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20.7%</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(15.8%)</w:t>
            </w:r>
          </w:p>
        </w:tc>
      </w:tr>
      <w:tr w:rsidR="00010CA2" w:rsidRPr="00A8536E" w:rsidTr="00010CA2">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Other revenues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4,466</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3,839</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3,191</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16.3%</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20.3%</w:t>
            </w:r>
          </w:p>
        </w:tc>
      </w:tr>
      <w:tr w:rsidR="00010CA2" w:rsidRPr="00A8536E" w:rsidTr="00010CA2">
        <w:trPr>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893E42" w:rsidRDefault="00010CA2" w:rsidP="00893E42">
            <w:pPr>
              <w:autoSpaceDE w:val="0"/>
              <w:autoSpaceDN w:val="0"/>
              <w:adjustRightInd w:val="0"/>
              <w:spacing w:before="40" w:after="40" w:line="240" w:lineRule="auto"/>
              <w:jc w:val="left"/>
              <w:rPr>
                <w:rStyle w:val="SubtleEmphasis"/>
                <w:b/>
              </w:rPr>
            </w:pPr>
            <w:r w:rsidRPr="00893E42">
              <w:rPr>
                <w:rStyle w:val="SubtleEmphasis"/>
                <w:b/>
              </w:rPr>
              <w:t>Total revenue</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172,353</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161,330</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156,377</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6.8%</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3.2%</w:t>
            </w:r>
          </w:p>
        </w:tc>
      </w:tr>
      <w:tr w:rsidR="003D5DCE" w:rsidRPr="00A8536E" w:rsidTr="003B6962">
        <w:trPr>
          <w:trHeight w:val="300"/>
          <w:jc w:val="center"/>
        </w:trPr>
        <w:tc>
          <w:tcPr>
            <w:tcW w:w="8164" w:type="dxa"/>
            <w:gridSpan w:val="6"/>
            <w:tcBorders>
              <w:top w:val="nil"/>
              <w:left w:val="single" w:sz="4" w:space="0" w:color="auto"/>
              <w:bottom w:val="single" w:sz="4" w:space="0" w:color="auto"/>
              <w:right w:val="single" w:sz="4" w:space="0" w:color="000000"/>
            </w:tcBorders>
            <w:shd w:val="clear" w:color="auto" w:fill="EBF2FA"/>
            <w:noWrap/>
            <w:vAlign w:val="center"/>
            <w:hideMark/>
          </w:tcPr>
          <w:p w:rsidR="003D5DCE" w:rsidRPr="005B2871" w:rsidRDefault="003D5DCE" w:rsidP="003D5DCE">
            <w:pPr>
              <w:spacing w:before="40" w:after="40" w:line="240" w:lineRule="auto"/>
              <w:jc w:val="left"/>
              <w:rPr>
                <w:b/>
                <w:color w:val="FF0000"/>
                <w:spacing w:val="0"/>
                <w:kern w:val="0"/>
              </w:rPr>
            </w:pP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Employees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62,428</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59,338</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56,139</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5.2%</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5.7%</w:t>
            </w: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Borrowing costs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4,955</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5,241</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5,294</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(5.5%)</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(1.0%)</w:t>
            </w: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Materials and contract expenses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44,641</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44,364</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41,513</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0.6%</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6.9%</w:t>
            </w: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Depreciation and amortisation</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47,016</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32,374</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31,609</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45.2%</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2.4%</w:t>
            </w: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893E42">
            <w:pPr>
              <w:autoSpaceDE w:val="0"/>
              <w:autoSpaceDN w:val="0"/>
              <w:adjustRightInd w:val="0"/>
              <w:spacing w:before="40" w:after="40" w:line="240" w:lineRule="auto"/>
              <w:jc w:val="left"/>
              <w:rPr>
                <w:rStyle w:val="SubtleEmphasis"/>
              </w:rPr>
            </w:pPr>
            <w:r w:rsidRPr="00B55059">
              <w:rPr>
                <w:rStyle w:val="SubtleEmphasis"/>
              </w:rPr>
              <w:t>Other expenses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20,169</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19,215</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18,437</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5.0%</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4.2%</w:t>
            </w: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893E42" w:rsidRDefault="00010CA2" w:rsidP="00893E42">
            <w:pPr>
              <w:autoSpaceDE w:val="0"/>
              <w:autoSpaceDN w:val="0"/>
              <w:adjustRightInd w:val="0"/>
              <w:spacing w:before="40" w:after="40" w:line="240" w:lineRule="auto"/>
              <w:jc w:val="left"/>
              <w:rPr>
                <w:rStyle w:val="SubtleEmphasis"/>
                <w:b/>
              </w:rPr>
            </w:pPr>
            <w:r w:rsidRPr="00893E42">
              <w:rPr>
                <w:rStyle w:val="SubtleEmphasis"/>
                <w:b/>
              </w:rPr>
              <w:t>Total expenses</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179,209</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160,532</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152,992</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11.6%</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4.9%</w:t>
            </w:r>
          </w:p>
        </w:tc>
      </w:tr>
      <w:tr w:rsidR="00010CA2" w:rsidRPr="00A8536E" w:rsidTr="00010CA2">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010CA2" w:rsidRPr="00893E42" w:rsidRDefault="00010CA2" w:rsidP="00893E42">
            <w:pPr>
              <w:autoSpaceDE w:val="0"/>
              <w:autoSpaceDN w:val="0"/>
              <w:adjustRightInd w:val="0"/>
              <w:spacing w:before="40" w:after="40" w:line="240" w:lineRule="auto"/>
              <w:jc w:val="left"/>
              <w:rPr>
                <w:rStyle w:val="SubtleEmphasis"/>
                <w:b/>
              </w:rPr>
            </w:pPr>
            <w:r w:rsidRPr="00893E42">
              <w:rPr>
                <w:rStyle w:val="SubtleEmphasis"/>
                <w:b/>
              </w:rPr>
              <w:t>Operating result</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(6,856)</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798</w:t>
            </w:r>
          </w:p>
        </w:tc>
        <w:tc>
          <w:tcPr>
            <w:tcW w:w="1087"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3,385</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(959.1%)</w:t>
            </w:r>
          </w:p>
        </w:tc>
        <w:tc>
          <w:tcPr>
            <w:tcW w:w="1105"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(76.4%)</w:t>
            </w:r>
          </w:p>
        </w:tc>
      </w:tr>
    </w:tbl>
    <w:p w:rsidR="003D5DCE" w:rsidRPr="003B6962" w:rsidRDefault="00D949B7" w:rsidP="00374A23">
      <w:pPr>
        <w:pStyle w:val="Heading3"/>
      </w:pPr>
      <w:r w:rsidRPr="003B6962">
        <w:t>Table</w:t>
      </w:r>
      <w:r w:rsidR="003B6962">
        <w:t xml:space="preserve"> 2</w:t>
      </w:r>
      <w:r w:rsidR="00052A63">
        <w:t xml:space="preserve"> </w:t>
      </w:r>
      <w:r w:rsidR="003B6962">
        <w:t>-</w:t>
      </w:r>
      <w:r w:rsidR="00052A63">
        <w:t xml:space="preserve"> </w:t>
      </w:r>
      <w:r w:rsidR="00501AAE">
        <w:t>Items excluded from Income S</w:t>
      </w:r>
      <w:r w:rsidRPr="003B6962">
        <w:t>tatement</w:t>
      </w:r>
    </w:p>
    <w:tbl>
      <w:tblPr>
        <w:tblW w:w="0" w:type="auto"/>
        <w:jc w:val="center"/>
        <w:tblLayout w:type="fixed"/>
        <w:tblLook w:val="04A0" w:firstRow="1" w:lastRow="0" w:firstColumn="1" w:lastColumn="0" w:noHBand="0" w:noVBand="1"/>
      </w:tblPr>
      <w:tblGrid>
        <w:gridCol w:w="4961"/>
        <w:gridCol w:w="993"/>
        <w:gridCol w:w="992"/>
        <w:gridCol w:w="992"/>
      </w:tblGrid>
      <w:tr w:rsidR="003D5DCE" w:rsidRPr="00917299" w:rsidTr="00380018">
        <w:trPr>
          <w:trHeight w:val="399"/>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EBF2FA"/>
            <w:noWrap/>
            <w:vAlign w:val="bottom"/>
            <w:hideMark/>
          </w:tcPr>
          <w:p w:rsidR="00426FBC" w:rsidRDefault="003D5DCE">
            <w:pPr>
              <w:spacing w:before="40" w:after="40" w:line="240" w:lineRule="auto"/>
              <w:jc w:val="left"/>
              <w:rPr>
                <w:rStyle w:val="Emphasis"/>
              </w:rPr>
            </w:pPr>
            <w:r w:rsidRPr="00B55059">
              <w:rPr>
                <w:rStyle w:val="Emphasis"/>
              </w:rPr>
              <w:t>Excluded items ($’000)</w:t>
            </w:r>
          </w:p>
        </w:tc>
      </w:tr>
      <w:tr w:rsidR="003D5DCE" w:rsidRPr="00917299" w:rsidTr="003C4520">
        <w:trPr>
          <w:trHeight w:val="247"/>
          <w:jc w:val="center"/>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3D5DCE" w:rsidRDefault="003D5DCE" w:rsidP="003C4520">
            <w:pPr>
              <w:spacing w:before="40" w:after="40"/>
              <w:outlineLvl w:val="0"/>
              <w:rPr>
                <w:rFonts w:cs="Calibri"/>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3D5DCE" w:rsidRPr="003C4520" w:rsidRDefault="003D5DCE" w:rsidP="003C4520">
            <w:pPr>
              <w:spacing w:before="40" w:after="40"/>
              <w:jc w:val="center"/>
              <w:rPr>
                <w:rFonts w:cs="Calibri"/>
                <w:b/>
                <w:bCs/>
                <w:color w:val="000000"/>
              </w:rPr>
            </w:pPr>
            <w:r w:rsidRPr="003C4520">
              <w:rPr>
                <w:rFonts w:cs="Calibri"/>
                <w:b/>
                <w:bCs/>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rsidR="003D5DCE" w:rsidRPr="003C4520" w:rsidRDefault="003D5DCE" w:rsidP="003C4520">
            <w:pPr>
              <w:spacing w:before="40" w:after="40"/>
              <w:jc w:val="center"/>
              <w:rPr>
                <w:rFonts w:cs="Calibri"/>
                <w:b/>
                <w:bCs/>
                <w:color w:val="000000"/>
              </w:rPr>
            </w:pPr>
            <w:r w:rsidRPr="003C4520">
              <w:rPr>
                <w:rFonts w:cs="Calibri"/>
                <w:b/>
                <w:bCs/>
                <w:color w:val="000000"/>
              </w:rPr>
              <w:t>2010</w:t>
            </w:r>
          </w:p>
        </w:tc>
        <w:tc>
          <w:tcPr>
            <w:tcW w:w="992" w:type="dxa"/>
            <w:tcBorders>
              <w:top w:val="nil"/>
              <w:left w:val="nil"/>
              <w:bottom w:val="single" w:sz="4" w:space="0" w:color="auto"/>
              <w:right w:val="single" w:sz="4" w:space="0" w:color="auto"/>
            </w:tcBorders>
            <w:shd w:val="clear" w:color="auto" w:fill="auto"/>
            <w:noWrap/>
            <w:vAlign w:val="bottom"/>
            <w:hideMark/>
          </w:tcPr>
          <w:p w:rsidR="003D5DCE" w:rsidRPr="003C4520" w:rsidRDefault="003D5DCE" w:rsidP="003C4520">
            <w:pPr>
              <w:spacing w:before="40" w:after="40"/>
              <w:jc w:val="center"/>
              <w:rPr>
                <w:rFonts w:cs="Calibri"/>
                <w:b/>
                <w:bCs/>
                <w:color w:val="000000"/>
              </w:rPr>
            </w:pPr>
            <w:r w:rsidRPr="003C4520">
              <w:rPr>
                <w:rFonts w:cs="Calibri"/>
                <w:b/>
                <w:bCs/>
                <w:color w:val="000000"/>
              </w:rPr>
              <w:t>2009</w:t>
            </w:r>
          </w:p>
        </w:tc>
      </w:tr>
      <w:tr w:rsidR="00010CA2" w:rsidRPr="00917299" w:rsidTr="00010CA2">
        <w:trPr>
          <w:trHeight w:val="309"/>
          <w:jc w:val="center"/>
        </w:trPr>
        <w:tc>
          <w:tcPr>
            <w:tcW w:w="4961" w:type="dxa"/>
            <w:tcBorders>
              <w:top w:val="nil"/>
              <w:left w:val="single" w:sz="4" w:space="0" w:color="auto"/>
              <w:bottom w:val="single" w:sz="4" w:space="0" w:color="auto"/>
              <w:right w:val="single" w:sz="4" w:space="0" w:color="auto"/>
            </w:tcBorders>
            <w:shd w:val="clear" w:color="auto" w:fill="auto"/>
            <w:noWrap/>
            <w:hideMark/>
          </w:tcPr>
          <w:p w:rsidR="00010CA2" w:rsidRPr="00E71ABF" w:rsidRDefault="00010CA2" w:rsidP="00010CA2">
            <w:pPr>
              <w:autoSpaceDE w:val="0"/>
              <w:autoSpaceDN w:val="0"/>
              <w:adjustRightInd w:val="0"/>
              <w:spacing w:before="40" w:after="40" w:line="240" w:lineRule="auto"/>
              <w:jc w:val="left"/>
              <w:rPr>
                <w:rFonts w:cs="Calibri"/>
                <w:color w:val="000000"/>
                <w:spacing w:val="0"/>
                <w:kern w:val="0"/>
                <w:lang w:eastAsia="en-US"/>
              </w:rPr>
            </w:pPr>
            <w:r w:rsidRPr="00E71ABF">
              <w:rPr>
                <w:rFonts w:cs="Calibri"/>
                <w:color w:val="000000"/>
                <w:spacing w:val="0"/>
                <w:kern w:val="0"/>
                <w:lang w:eastAsia="en-US"/>
              </w:rPr>
              <w:t>Grants and contributions for capital purposes</w:t>
            </w:r>
          </w:p>
        </w:tc>
        <w:tc>
          <w:tcPr>
            <w:tcW w:w="993"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12,202</w:t>
            </w:r>
          </w:p>
        </w:tc>
        <w:tc>
          <w:tcPr>
            <w:tcW w:w="992"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19,275</w:t>
            </w:r>
          </w:p>
        </w:tc>
        <w:tc>
          <w:tcPr>
            <w:tcW w:w="992"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13,704</w:t>
            </w:r>
          </w:p>
        </w:tc>
      </w:tr>
      <w:tr w:rsidR="00010CA2" w:rsidRPr="00917299" w:rsidTr="00010CA2">
        <w:trPr>
          <w:trHeight w:val="315"/>
          <w:jc w:val="center"/>
        </w:trPr>
        <w:tc>
          <w:tcPr>
            <w:tcW w:w="4961" w:type="dxa"/>
            <w:tcBorders>
              <w:top w:val="nil"/>
              <w:left w:val="single" w:sz="4" w:space="0" w:color="auto"/>
              <w:bottom w:val="single" w:sz="4" w:space="0" w:color="auto"/>
              <w:right w:val="single" w:sz="4" w:space="0" w:color="auto"/>
            </w:tcBorders>
            <w:shd w:val="clear" w:color="auto" w:fill="auto"/>
            <w:hideMark/>
          </w:tcPr>
          <w:p w:rsidR="00010CA2" w:rsidRPr="00E71ABF" w:rsidRDefault="00010CA2" w:rsidP="00010CA2">
            <w:pPr>
              <w:autoSpaceDE w:val="0"/>
              <w:autoSpaceDN w:val="0"/>
              <w:adjustRightInd w:val="0"/>
              <w:spacing w:before="40" w:after="40" w:line="240" w:lineRule="auto"/>
              <w:jc w:val="left"/>
              <w:rPr>
                <w:rFonts w:cs="Calibri"/>
                <w:color w:val="000000"/>
                <w:spacing w:val="0"/>
                <w:kern w:val="0"/>
                <w:lang w:eastAsia="en-US"/>
              </w:rPr>
            </w:pPr>
            <w:r w:rsidRPr="00E71ABF">
              <w:rPr>
                <w:rFonts w:cs="Calibri"/>
                <w:color w:val="000000"/>
                <w:spacing w:val="0"/>
                <w:kern w:val="0"/>
                <w:lang w:eastAsia="en-US"/>
              </w:rPr>
              <w:t>Increase (Decrease) in the fair value of investments</w:t>
            </w:r>
          </w:p>
        </w:tc>
        <w:tc>
          <w:tcPr>
            <w:tcW w:w="993"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440</w:t>
            </w:r>
          </w:p>
        </w:tc>
        <w:tc>
          <w:tcPr>
            <w:tcW w:w="992"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1,122</w:t>
            </w:r>
          </w:p>
        </w:tc>
        <w:tc>
          <w:tcPr>
            <w:tcW w:w="992"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(5,898)</w:t>
            </w:r>
          </w:p>
        </w:tc>
      </w:tr>
      <w:tr w:rsidR="00010CA2" w:rsidRPr="00917299" w:rsidTr="00010CA2">
        <w:trPr>
          <w:trHeight w:val="315"/>
          <w:jc w:val="center"/>
        </w:trPr>
        <w:tc>
          <w:tcPr>
            <w:tcW w:w="4961" w:type="dxa"/>
            <w:tcBorders>
              <w:top w:val="nil"/>
              <w:left w:val="single" w:sz="4" w:space="0" w:color="auto"/>
              <w:bottom w:val="single" w:sz="4" w:space="0" w:color="auto"/>
              <w:right w:val="single" w:sz="4" w:space="0" w:color="auto"/>
            </w:tcBorders>
            <w:shd w:val="clear" w:color="auto" w:fill="auto"/>
            <w:hideMark/>
          </w:tcPr>
          <w:p w:rsidR="00010CA2" w:rsidRPr="00E71ABF" w:rsidRDefault="00010CA2" w:rsidP="00010CA2">
            <w:pPr>
              <w:autoSpaceDE w:val="0"/>
              <w:autoSpaceDN w:val="0"/>
              <w:adjustRightInd w:val="0"/>
              <w:spacing w:before="40" w:after="40" w:line="240" w:lineRule="auto"/>
              <w:jc w:val="left"/>
              <w:rPr>
                <w:rFonts w:cs="Calibri"/>
                <w:color w:val="000000"/>
                <w:spacing w:val="0"/>
                <w:kern w:val="0"/>
                <w:lang w:eastAsia="en-US"/>
              </w:rPr>
            </w:pPr>
            <w:r w:rsidRPr="00E71ABF">
              <w:rPr>
                <w:rFonts w:cs="Calibri"/>
                <w:color w:val="000000"/>
                <w:spacing w:val="0"/>
                <w:kern w:val="0"/>
                <w:lang w:eastAsia="en-US"/>
              </w:rPr>
              <w:t>Net gain/(losses) from the disposal of assets</w:t>
            </w:r>
          </w:p>
        </w:tc>
        <w:tc>
          <w:tcPr>
            <w:tcW w:w="993"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(1,080)</w:t>
            </w:r>
          </w:p>
        </w:tc>
        <w:tc>
          <w:tcPr>
            <w:tcW w:w="992"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(853)</w:t>
            </w:r>
          </w:p>
        </w:tc>
        <w:tc>
          <w:tcPr>
            <w:tcW w:w="992"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289</w:t>
            </w:r>
          </w:p>
        </w:tc>
      </w:tr>
    </w:tbl>
    <w:p w:rsidR="003B6962" w:rsidRDefault="003B6962" w:rsidP="003B6962">
      <w:pPr>
        <w:spacing w:line="276" w:lineRule="auto"/>
        <w:rPr>
          <w:u w:val="single"/>
        </w:rPr>
      </w:pPr>
    </w:p>
    <w:p w:rsidR="003D5DCE" w:rsidRPr="003B6962" w:rsidRDefault="00D24DE7" w:rsidP="00893E42">
      <w:pPr>
        <w:pStyle w:val="Heading3"/>
      </w:pPr>
      <w:r>
        <w:br w:type="page"/>
      </w:r>
      <w:r w:rsidR="00D949B7" w:rsidRPr="003B6962">
        <w:lastRenderedPageBreak/>
        <w:t>Table</w:t>
      </w:r>
      <w:r w:rsidR="003B6962" w:rsidRPr="003B6962">
        <w:t xml:space="preserve"> 3</w:t>
      </w:r>
      <w:r w:rsidR="00052A63">
        <w:t xml:space="preserve"> </w:t>
      </w:r>
      <w:r w:rsidR="003B6962">
        <w:t>-</w:t>
      </w:r>
      <w:r w:rsidR="00052A63">
        <w:t xml:space="preserve"> </w:t>
      </w:r>
      <w:r w:rsidR="00D949B7" w:rsidRPr="003B6962">
        <w:t>Balance Sheet</w:t>
      </w:r>
    </w:p>
    <w:tbl>
      <w:tblPr>
        <w:tblW w:w="8124" w:type="dxa"/>
        <w:jc w:val="center"/>
        <w:tblInd w:w="-1814" w:type="dxa"/>
        <w:tblLayout w:type="fixed"/>
        <w:tblLook w:val="04A0" w:firstRow="1" w:lastRow="0" w:firstColumn="1" w:lastColumn="0" w:noHBand="0" w:noVBand="1"/>
      </w:tblPr>
      <w:tblGrid>
        <w:gridCol w:w="3197"/>
        <w:gridCol w:w="1039"/>
        <w:gridCol w:w="1040"/>
        <w:gridCol w:w="1040"/>
        <w:gridCol w:w="904"/>
        <w:gridCol w:w="904"/>
      </w:tblGrid>
      <w:tr w:rsidR="003D5DCE" w:rsidRPr="00CD4DB9" w:rsidTr="00C26911">
        <w:trPr>
          <w:trHeight w:val="330"/>
          <w:jc w:val="center"/>
        </w:trPr>
        <w:tc>
          <w:tcPr>
            <w:tcW w:w="3197" w:type="dxa"/>
            <w:tcBorders>
              <w:top w:val="single" w:sz="4" w:space="0" w:color="auto"/>
              <w:left w:val="single" w:sz="4" w:space="0" w:color="auto"/>
              <w:bottom w:val="single" w:sz="4" w:space="0" w:color="auto"/>
              <w:right w:val="single" w:sz="4" w:space="0" w:color="auto"/>
            </w:tcBorders>
            <w:shd w:val="clear" w:color="000000" w:fill="BACFF8"/>
            <w:noWrap/>
            <w:vAlign w:val="bottom"/>
            <w:hideMark/>
          </w:tcPr>
          <w:p w:rsidR="003D5DCE" w:rsidRPr="00B55059" w:rsidRDefault="003D5DCE" w:rsidP="00D24DE7">
            <w:pPr>
              <w:spacing w:before="40" w:after="40" w:line="240" w:lineRule="auto"/>
              <w:rPr>
                <w:rStyle w:val="Emphasis"/>
              </w:rPr>
            </w:pPr>
            <w:r w:rsidRPr="00B55059">
              <w:rPr>
                <w:rStyle w:val="Emphasis"/>
              </w:rPr>
              <w:t>Balance Sheet ($’000)</w:t>
            </w:r>
          </w:p>
        </w:tc>
        <w:tc>
          <w:tcPr>
            <w:tcW w:w="3119" w:type="dxa"/>
            <w:gridSpan w:val="3"/>
            <w:tcBorders>
              <w:top w:val="single" w:sz="4" w:space="0" w:color="auto"/>
              <w:left w:val="nil"/>
              <w:bottom w:val="single" w:sz="4" w:space="0" w:color="auto"/>
              <w:right w:val="single" w:sz="4" w:space="0" w:color="000000"/>
            </w:tcBorders>
            <w:shd w:val="clear" w:color="000000" w:fill="BACFF8"/>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Year Ended 30 June</w:t>
            </w:r>
          </w:p>
        </w:tc>
        <w:tc>
          <w:tcPr>
            <w:tcW w:w="1808" w:type="dxa"/>
            <w:gridSpan w:val="2"/>
            <w:tcBorders>
              <w:top w:val="single" w:sz="4" w:space="0" w:color="auto"/>
              <w:left w:val="nil"/>
              <w:bottom w:val="single" w:sz="4" w:space="0" w:color="auto"/>
              <w:right w:val="single" w:sz="4" w:space="0" w:color="000000"/>
            </w:tcBorders>
            <w:shd w:val="clear" w:color="000000" w:fill="BACFF8"/>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 annual change</w:t>
            </w:r>
          </w:p>
        </w:tc>
      </w:tr>
      <w:tr w:rsidR="003D5DCE"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000000" w:fill="FFFFFF"/>
            <w:noWrap/>
            <w:vAlign w:val="bottom"/>
            <w:hideMark/>
          </w:tcPr>
          <w:p w:rsidR="003D5DCE" w:rsidRPr="00CD4DB9" w:rsidRDefault="003D5DCE" w:rsidP="003D5DCE">
            <w:pPr>
              <w:spacing w:before="40" w:after="40" w:line="240" w:lineRule="auto"/>
              <w:jc w:val="left"/>
              <w:rPr>
                <w:rFonts w:ascii="Calibri" w:hAnsi="Calibri" w:cs="Calibri"/>
                <w:color w:val="000000"/>
                <w:spacing w:val="0"/>
                <w:kern w:val="0"/>
              </w:rPr>
            </w:pPr>
            <w:r w:rsidRPr="00CD4DB9">
              <w:rPr>
                <w:rFonts w:ascii="Calibri" w:hAnsi="Calibri" w:cs="Calibri"/>
                <w:color w:val="000000"/>
                <w:spacing w:val="0"/>
                <w:kern w:val="0"/>
              </w:rPr>
              <w:t> </w:t>
            </w:r>
          </w:p>
        </w:tc>
        <w:tc>
          <w:tcPr>
            <w:tcW w:w="1039"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2011</w:t>
            </w:r>
          </w:p>
        </w:tc>
        <w:tc>
          <w:tcPr>
            <w:tcW w:w="1040"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2010</w:t>
            </w:r>
          </w:p>
        </w:tc>
        <w:tc>
          <w:tcPr>
            <w:tcW w:w="1040"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2009</w:t>
            </w:r>
          </w:p>
        </w:tc>
        <w:tc>
          <w:tcPr>
            <w:tcW w:w="904"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2011</w:t>
            </w:r>
          </w:p>
        </w:tc>
        <w:tc>
          <w:tcPr>
            <w:tcW w:w="904" w:type="dxa"/>
            <w:tcBorders>
              <w:top w:val="nil"/>
              <w:left w:val="nil"/>
              <w:bottom w:val="single" w:sz="4" w:space="0" w:color="auto"/>
              <w:right w:val="single" w:sz="4" w:space="0" w:color="auto"/>
            </w:tcBorders>
            <w:shd w:val="clear" w:color="000000" w:fill="FFFFFF"/>
            <w:noWrap/>
            <w:vAlign w:val="bottom"/>
            <w:hideMark/>
          </w:tcPr>
          <w:p w:rsidR="003D5DCE" w:rsidRPr="00B55059" w:rsidRDefault="003D5DCE" w:rsidP="003D5DCE">
            <w:pPr>
              <w:spacing w:before="40" w:after="40" w:line="240" w:lineRule="auto"/>
              <w:jc w:val="center"/>
              <w:rPr>
                <w:rStyle w:val="IntenseEmphasis"/>
              </w:rPr>
            </w:pPr>
            <w:r w:rsidRPr="00B55059">
              <w:rPr>
                <w:rStyle w:val="IntenseEmphasis"/>
              </w:rPr>
              <w:t>2010</w:t>
            </w:r>
          </w:p>
        </w:tc>
      </w:tr>
      <w:tr w:rsidR="003D5DCE" w:rsidRPr="00CD4DB9" w:rsidTr="00C26911">
        <w:trPr>
          <w:trHeight w:val="330"/>
          <w:jc w:val="center"/>
        </w:trPr>
        <w:tc>
          <w:tcPr>
            <w:tcW w:w="8124" w:type="dxa"/>
            <w:gridSpan w:val="6"/>
            <w:tcBorders>
              <w:top w:val="nil"/>
              <w:left w:val="single" w:sz="4" w:space="0" w:color="auto"/>
              <w:bottom w:val="single" w:sz="4" w:space="0" w:color="auto"/>
              <w:right w:val="single" w:sz="4" w:space="0" w:color="auto"/>
            </w:tcBorders>
            <w:shd w:val="clear" w:color="000000" w:fill="EBF2FA"/>
            <w:noWrap/>
            <w:vAlign w:val="bottom"/>
            <w:hideMark/>
          </w:tcPr>
          <w:p w:rsidR="003D5DCE" w:rsidRPr="00B55059" w:rsidRDefault="003D5DCE" w:rsidP="003D5DCE">
            <w:pPr>
              <w:spacing w:before="40" w:after="40" w:line="240" w:lineRule="auto"/>
              <w:jc w:val="left"/>
              <w:rPr>
                <w:rStyle w:val="Emphasis"/>
              </w:rPr>
            </w:pPr>
            <w:r w:rsidRPr="00B55059">
              <w:rPr>
                <w:rStyle w:val="Emphasis"/>
              </w:rPr>
              <w:t>Current assets</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Cash and equivalents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84,527</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27,757</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33,737</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204.5%</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(17.7%)</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noWrap/>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Investments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15,623</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58,265</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50,978</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(73.2%)</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14.3%</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Receivables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11,927</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13,456</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14,594</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(11.4%)</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(7.8%)</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Inventories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3,202</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3,373</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9,839</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(5.1%)</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(65.7%)</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Other</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1,449</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1,280</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1,136</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13.2%</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12.7%</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Total current assets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116,728</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104,131</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110,284</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12.1%</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(5.6%)</w:t>
            </w:r>
          </w:p>
        </w:tc>
      </w:tr>
      <w:tr w:rsidR="003D5DCE" w:rsidRPr="00CD4DB9" w:rsidTr="00C26911">
        <w:trPr>
          <w:trHeight w:val="330"/>
          <w:jc w:val="center"/>
        </w:trPr>
        <w:tc>
          <w:tcPr>
            <w:tcW w:w="8124" w:type="dxa"/>
            <w:gridSpan w:val="6"/>
            <w:tcBorders>
              <w:top w:val="nil"/>
              <w:left w:val="single" w:sz="4" w:space="0" w:color="auto"/>
              <w:bottom w:val="single" w:sz="4" w:space="0" w:color="auto"/>
              <w:right w:val="single" w:sz="4" w:space="0" w:color="auto"/>
            </w:tcBorders>
            <w:shd w:val="clear" w:color="000000" w:fill="EBF2FA"/>
            <w:noWrap/>
            <w:vAlign w:val="bottom"/>
            <w:hideMark/>
          </w:tcPr>
          <w:p w:rsidR="003D5DCE" w:rsidRPr="00B55059" w:rsidRDefault="003D5DCE" w:rsidP="003D5DCE">
            <w:pPr>
              <w:spacing w:before="40" w:after="40" w:line="240" w:lineRule="auto"/>
              <w:jc w:val="left"/>
              <w:rPr>
                <w:rStyle w:val="Emphasis"/>
              </w:rPr>
            </w:pPr>
            <w:r w:rsidRPr="00B55059">
              <w:rPr>
                <w:rStyle w:val="Emphasis"/>
              </w:rPr>
              <w:t>Non-current assets</w:t>
            </w:r>
          </w:p>
        </w:tc>
      </w:tr>
      <w:tr w:rsidR="005F5BF6"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autoSpaceDE w:val="0"/>
              <w:autoSpaceDN w:val="0"/>
              <w:adjustRightInd w:val="0"/>
              <w:spacing w:before="40" w:after="40" w:line="240" w:lineRule="auto"/>
              <w:jc w:val="left"/>
              <w:rPr>
                <w:rStyle w:val="SubtleEmphasis"/>
              </w:rPr>
            </w:pPr>
            <w:r w:rsidRPr="00B55059">
              <w:rPr>
                <w:rStyle w:val="SubtleEmphasis"/>
              </w:rPr>
              <w:t>Investments</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7,326</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14,383</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13,762</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(49.1%)</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4.5%</w:t>
            </w:r>
          </w:p>
        </w:tc>
      </w:tr>
      <w:tr w:rsidR="005F5BF6"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autoSpaceDE w:val="0"/>
              <w:autoSpaceDN w:val="0"/>
              <w:adjustRightInd w:val="0"/>
              <w:spacing w:before="40" w:after="40" w:line="240" w:lineRule="auto"/>
              <w:jc w:val="left"/>
              <w:rPr>
                <w:rStyle w:val="SubtleEmphasis"/>
              </w:rPr>
            </w:pPr>
            <w:r w:rsidRPr="00B55059">
              <w:rPr>
                <w:rStyle w:val="SubtleEmphasis"/>
              </w:rPr>
              <w:t>Receivables</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11,039</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9,680</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9,664</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14.0%</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0.2%</w:t>
            </w:r>
          </w:p>
        </w:tc>
      </w:tr>
      <w:tr w:rsidR="005F5BF6"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autoSpaceDE w:val="0"/>
              <w:autoSpaceDN w:val="0"/>
              <w:adjustRightInd w:val="0"/>
              <w:spacing w:before="40" w:after="40" w:line="240" w:lineRule="auto"/>
              <w:jc w:val="left"/>
              <w:rPr>
                <w:rStyle w:val="SubtleEmphasis"/>
              </w:rPr>
            </w:pPr>
            <w:r w:rsidRPr="00B55059">
              <w:rPr>
                <w:rStyle w:val="SubtleEmphasis"/>
              </w:rPr>
              <w:t>Inventories</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6,618</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6,804</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0</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(2.7%)</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N/A</w:t>
            </w:r>
          </w:p>
        </w:tc>
      </w:tr>
      <w:tr w:rsidR="005F5BF6" w:rsidRPr="00CD4DB9" w:rsidTr="005F5BF6">
        <w:trPr>
          <w:trHeight w:val="499"/>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autoSpaceDE w:val="0"/>
              <w:autoSpaceDN w:val="0"/>
              <w:adjustRightInd w:val="0"/>
              <w:spacing w:before="40" w:after="40" w:line="240" w:lineRule="auto"/>
              <w:jc w:val="left"/>
              <w:rPr>
                <w:rStyle w:val="SubtleEmphasis"/>
              </w:rPr>
            </w:pPr>
            <w:r w:rsidRPr="00B55059">
              <w:rPr>
                <w:rStyle w:val="SubtleEmphasis"/>
              </w:rPr>
              <w:t>Infrastructure, property, plant &amp; equipment</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2,257,079</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2,093,271</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1,721,672</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7.8%</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21.6%</w:t>
            </w:r>
          </w:p>
        </w:tc>
      </w:tr>
      <w:tr w:rsidR="005F5BF6"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autoSpaceDE w:val="0"/>
              <w:autoSpaceDN w:val="0"/>
              <w:adjustRightInd w:val="0"/>
              <w:spacing w:before="40" w:after="40" w:line="240" w:lineRule="auto"/>
              <w:jc w:val="left"/>
              <w:rPr>
                <w:rStyle w:val="SubtleEmphasis"/>
              </w:rPr>
            </w:pPr>
            <w:r w:rsidRPr="00B55059">
              <w:rPr>
                <w:rStyle w:val="SubtleEmphasis"/>
              </w:rPr>
              <w:t>Investment property</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1,508</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1,477</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1,447</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2.1%</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color w:val="000000"/>
                <w:spacing w:val="0"/>
                <w:kern w:val="0"/>
              </w:rPr>
            </w:pPr>
            <w:r w:rsidRPr="005F5BF6">
              <w:rPr>
                <w:color w:val="000000"/>
                <w:spacing w:val="0"/>
                <w:kern w:val="0"/>
              </w:rPr>
              <w:t>2.1%</w:t>
            </w:r>
          </w:p>
        </w:tc>
      </w:tr>
      <w:tr w:rsidR="005F5BF6" w:rsidRPr="00CD4DB9" w:rsidTr="005F5BF6">
        <w:trPr>
          <w:trHeight w:val="36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autoSpaceDE w:val="0"/>
              <w:autoSpaceDN w:val="0"/>
              <w:adjustRightInd w:val="0"/>
              <w:spacing w:before="40" w:after="40" w:line="240" w:lineRule="auto"/>
              <w:jc w:val="left"/>
              <w:rPr>
                <w:rStyle w:val="SubtleEmphasis"/>
              </w:rPr>
            </w:pPr>
            <w:r w:rsidRPr="00B55059">
              <w:rPr>
                <w:rStyle w:val="SubtleEmphasis"/>
              </w:rPr>
              <w:t>Total non-current assets</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2,283,570</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2,125,615</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1,746,545</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7.4%</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21.7%</w:t>
            </w:r>
          </w:p>
        </w:tc>
      </w:tr>
      <w:tr w:rsidR="005F5BF6"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5F5BF6" w:rsidRPr="00B55059" w:rsidRDefault="005F5BF6" w:rsidP="00014E92">
            <w:pPr>
              <w:spacing w:before="40" w:after="40" w:line="240" w:lineRule="auto"/>
              <w:jc w:val="left"/>
              <w:rPr>
                <w:rStyle w:val="SubtleEmphasis"/>
                <w:b/>
              </w:rPr>
            </w:pPr>
            <w:r w:rsidRPr="00B55059">
              <w:rPr>
                <w:rStyle w:val="SubtleEmphasis"/>
                <w:b/>
              </w:rPr>
              <w:t>Total assets</w:t>
            </w:r>
          </w:p>
        </w:tc>
        <w:tc>
          <w:tcPr>
            <w:tcW w:w="1039"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2,400,298</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2,229,746</w:t>
            </w:r>
          </w:p>
        </w:tc>
        <w:tc>
          <w:tcPr>
            <w:tcW w:w="1040"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1,856,829</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7.6%</w:t>
            </w:r>
          </w:p>
        </w:tc>
        <w:tc>
          <w:tcPr>
            <w:tcW w:w="904" w:type="dxa"/>
            <w:tcBorders>
              <w:top w:val="nil"/>
              <w:left w:val="nil"/>
              <w:bottom w:val="single" w:sz="4" w:space="0" w:color="auto"/>
              <w:right w:val="single" w:sz="4" w:space="0" w:color="auto"/>
            </w:tcBorders>
            <w:shd w:val="clear" w:color="auto" w:fill="auto"/>
            <w:noWrap/>
            <w:hideMark/>
          </w:tcPr>
          <w:p w:rsidR="005F5BF6" w:rsidRPr="005F5BF6" w:rsidRDefault="005F5BF6" w:rsidP="005F5BF6">
            <w:pPr>
              <w:spacing w:before="0" w:after="0" w:line="240" w:lineRule="auto"/>
              <w:jc w:val="center"/>
              <w:rPr>
                <w:b/>
                <w:color w:val="000000"/>
                <w:spacing w:val="0"/>
                <w:kern w:val="0"/>
              </w:rPr>
            </w:pPr>
            <w:r w:rsidRPr="005F5BF6">
              <w:rPr>
                <w:b/>
                <w:color w:val="000000"/>
                <w:spacing w:val="0"/>
                <w:kern w:val="0"/>
              </w:rPr>
              <w:t>20.1%</w:t>
            </w:r>
          </w:p>
        </w:tc>
      </w:tr>
      <w:tr w:rsidR="003D5DCE" w:rsidRPr="00BA21DB" w:rsidTr="00C26911">
        <w:trPr>
          <w:trHeight w:val="330"/>
          <w:jc w:val="center"/>
        </w:trPr>
        <w:tc>
          <w:tcPr>
            <w:tcW w:w="8124" w:type="dxa"/>
            <w:gridSpan w:val="6"/>
            <w:tcBorders>
              <w:top w:val="nil"/>
              <w:left w:val="single" w:sz="4" w:space="0" w:color="auto"/>
              <w:bottom w:val="single" w:sz="4" w:space="0" w:color="auto"/>
              <w:right w:val="single" w:sz="4" w:space="0" w:color="auto"/>
            </w:tcBorders>
            <w:shd w:val="clear" w:color="000000" w:fill="EBF2FA"/>
            <w:noWrap/>
            <w:vAlign w:val="bottom"/>
            <w:hideMark/>
          </w:tcPr>
          <w:p w:rsidR="003D5DCE" w:rsidRPr="00B55059" w:rsidRDefault="003D5DCE" w:rsidP="003D5DCE">
            <w:pPr>
              <w:spacing w:before="40" w:after="40" w:line="240" w:lineRule="auto"/>
              <w:jc w:val="left"/>
              <w:rPr>
                <w:rStyle w:val="Emphasis"/>
              </w:rPr>
            </w:pPr>
            <w:r w:rsidRPr="00B55059">
              <w:rPr>
                <w:rStyle w:val="Emphasis"/>
              </w:rPr>
              <w:t>Current liabilities </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Payables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16,929</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16,149</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19,003</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4.8%</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(15.0%)</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Borrowings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8,680</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8,153</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7,969</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6.5%</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2.3%</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Provisions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30,482</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30,630</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28,988</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(0.5%)</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color w:val="000000"/>
                <w:spacing w:val="0"/>
                <w:kern w:val="0"/>
              </w:rPr>
            </w:pPr>
            <w:r w:rsidRPr="00E71ABF">
              <w:rPr>
                <w:color w:val="000000"/>
                <w:spacing w:val="0"/>
                <w:kern w:val="0"/>
              </w:rPr>
              <w:t>5.7%</w:t>
            </w:r>
          </w:p>
        </w:tc>
      </w:tr>
      <w:tr w:rsidR="00010CA2" w:rsidRPr="00CD4DB9" w:rsidTr="00C26911">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010CA2" w:rsidRPr="00B55059" w:rsidRDefault="00010CA2" w:rsidP="00014E92">
            <w:pPr>
              <w:autoSpaceDE w:val="0"/>
              <w:autoSpaceDN w:val="0"/>
              <w:adjustRightInd w:val="0"/>
              <w:spacing w:before="40" w:after="40" w:line="240" w:lineRule="auto"/>
              <w:jc w:val="left"/>
              <w:rPr>
                <w:rStyle w:val="SubtleEmphasis"/>
              </w:rPr>
            </w:pPr>
            <w:r w:rsidRPr="00B55059">
              <w:rPr>
                <w:rStyle w:val="SubtleEmphasis"/>
              </w:rPr>
              <w:t>Total current liabilities</w:t>
            </w:r>
          </w:p>
        </w:tc>
        <w:tc>
          <w:tcPr>
            <w:tcW w:w="1039"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56,091</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54,932</w:t>
            </w:r>
          </w:p>
        </w:tc>
        <w:tc>
          <w:tcPr>
            <w:tcW w:w="1040"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55,960</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2.1%</w:t>
            </w:r>
          </w:p>
        </w:tc>
        <w:tc>
          <w:tcPr>
            <w:tcW w:w="904" w:type="dxa"/>
            <w:tcBorders>
              <w:top w:val="nil"/>
              <w:left w:val="nil"/>
              <w:bottom w:val="single" w:sz="4" w:space="0" w:color="auto"/>
              <w:right w:val="single" w:sz="4" w:space="0" w:color="auto"/>
            </w:tcBorders>
            <w:shd w:val="clear" w:color="auto" w:fill="auto"/>
            <w:noWrap/>
            <w:vAlign w:val="center"/>
            <w:hideMark/>
          </w:tcPr>
          <w:p w:rsidR="00010CA2" w:rsidRPr="00E71ABF" w:rsidRDefault="00010CA2" w:rsidP="00010CA2">
            <w:pPr>
              <w:spacing w:before="0" w:after="0" w:line="240" w:lineRule="auto"/>
              <w:jc w:val="center"/>
              <w:rPr>
                <w:b/>
                <w:color w:val="000000"/>
                <w:spacing w:val="0"/>
                <w:kern w:val="0"/>
              </w:rPr>
            </w:pPr>
            <w:r w:rsidRPr="00E71ABF">
              <w:rPr>
                <w:b/>
                <w:color w:val="000000"/>
                <w:spacing w:val="0"/>
                <w:kern w:val="0"/>
              </w:rPr>
              <w:t>(1.8%)</w:t>
            </w:r>
          </w:p>
        </w:tc>
      </w:tr>
      <w:tr w:rsidR="003D5DCE" w:rsidRPr="00CD4DB9" w:rsidTr="00C26911">
        <w:trPr>
          <w:trHeight w:val="330"/>
          <w:jc w:val="center"/>
        </w:trPr>
        <w:tc>
          <w:tcPr>
            <w:tcW w:w="8124" w:type="dxa"/>
            <w:gridSpan w:val="6"/>
            <w:tcBorders>
              <w:top w:val="nil"/>
              <w:left w:val="single" w:sz="4" w:space="0" w:color="auto"/>
              <w:bottom w:val="single" w:sz="4" w:space="0" w:color="auto"/>
              <w:right w:val="single" w:sz="4" w:space="0" w:color="auto"/>
            </w:tcBorders>
            <w:shd w:val="clear" w:color="000000" w:fill="EBF2FA"/>
            <w:noWrap/>
            <w:vAlign w:val="bottom"/>
            <w:hideMark/>
          </w:tcPr>
          <w:p w:rsidR="003D5DCE" w:rsidRPr="00B55059" w:rsidRDefault="003D5DCE" w:rsidP="003D5DCE">
            <w:pPr>
              <w:spacing w:before="40" w:after="40" w:line="240" w:lineRule="auto"/>
              <w:jc w:val="left"/>
              <w:rPr>
                <w:rStyle w:val="Emphasis"/>
              </w:rPr>
            </w:pPr>
            <w:r w:rsidRPr="00B55059">
              <w:rPr>
                <w:rStyle w:val="Emphasis"/>
              </w:rPr>
              <w:t>Non-current liabilities</w:t>
            </w:r>
            <w:r w:rsidRPr="00B55059">
              <w:rPr>
                <w:rStyle w:val="Emphasis"/>
                <w:highlight w:val="white"/>
              </w:rPr>
              <w:t>  </w:t>
            </w:r>
          </w:p>
        </w:tc>
      </w:tr>
      <w:tr w:rsidR="00F5102E"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F5102E" w:rsidRPr="00B55059" w:rsidRDefault="00F5102E" w:rsidP="00014E92">
            <w:pPr>
              <w:autoSpaceDE w:val="0"/>
              <w:autoSpaceDN w:val="0"/>
              <w:adjustRightInd w:val="0"/>
              <w:spacing w:before="40" w:after="40" w:line="240" w:lineRule="auto"/>
              <w:jc w:val="left"/>
              <w:rPr>
                <w:rStyle w:val="SubtleEmphasis"/>
              </w:rPr>
            </w:pPr>
            <w:r w:rsidRPr="00B55059">
              <w:rPr>
                <w:rStyle w:val="SubtleEmphasis"/>
              </w:rPr>
              <w:t>Borrowings</w:t>
            </w:r>
          </w:p>
        </w:tc>
        <w:tc>
          <w:tcPr>
            <w:tcW w:w="1039"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63,271</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64,233</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66,639</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(1.5%)</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(3.6%)</w:t>
            </w:r>
          </w:p>
        </w:tc>
      </w:tr>
      <w:tr w:rsidR="00F5102E"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F5102E" w:rsidRPr="00B55059" w:rsidRDefault="00F5102E" w:rsidP="00014E92">
            <w:pPr>
              <w:autoSpaceDE w:val="0"/>
              <w:autoSpaceDN w:val="0"/>
              <w:adjustRightInd w:val="0"/>
              <w:spacing w:before="40" w:after="40" w:line="240" w:lineRule="auto"/>
              <w:jc w:val="left"/>
              <w:rPr>
                <w:rStyle w:val="SubtleEmphasis"/>
              </w:rPr>
            </w:pPr>
            <w:r w:rsidRPr="00B55059">
              <w:rPr>
                <w:rStyle w:val="SubtleEmphasis"/>
              </w:rPr>
              <w:t>Provisions</w:t>
            </w:r>
          </w:p>
        </w:tc>
        <w:tc>
          <w:tcPr>
            <w:tcW w:w="1039"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9,842</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9,308</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9,625</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5.7%</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(3.3%)</w:t>
            </w:r>
          </w:p>
        </w:tc>
      </w:tr>
      <w:tr w:rsidR="00F5102E" w:rsidRPr="00CD4DB9" w:rsidTr="005F5BF6">
        <w:trPr>
          <w:trHeight w:val="313"/>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F5102E" w:rsidRPr="00B55059" w:rsidRDefault="00F5102E" w:rsidP="00014E92">
            <w:pPr>
              <w:autoSpaceDE w:val="0"/>
              <w:autoSpaceDN w:val="0"/>
              <w:adjustRightInd w:val="0"/>
              <w:spacing w:before="40" w:after="40" w:line="240" w:lineRule="auto"/>
              <w:jc w:val="left"/>
              <w:rPr>
                <w:rStyle w:val="SubtleEmphasis"/>
              </w:rPr>
            </w:pPr>
            <w:r w:rsidRPr="00B55059">
              <w:rPr>
                <w:rStyle w:val="SubtleEmphasis"/>
              </w:rPr>
              <w:t>Total non-current liabilities</w:t>
            </w:r>
          </w:p>
        </w:tc>
        <w:tc>
          <w:tcPr>
            <w:tcW w:w="1039"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73,113</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73,541</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76,264</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(0.6%)</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color w:val="000000"/>
                <w:spacing w:val="0"/>
                <w:kern w:val="0"/>
              </w:rPr>
            </w:pPr>
            <w:r w:rsidRPr="00F5102E">
              <w:rPr>
                <w:color w:val="000000"/>
                <w:spacing w:val="0"/>
                <w:kern w:val="0"/>
              </w:rPr>
              <w:t>(3.6%)</w:t>
            </w:r>
          </w:p>
        </w:tc>
      </w:tr>
      <w:tr w:rsidR="00F5102E"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F5102E" w:rsidRPr="00893E42" w:rsidRDefault="00F5102E" w:rsidP="00014E92">
            <w:pPr>
              <w:autoSpaceDE w:val="0"/>
              <w:autoSpaceDN w:val="0"/>
              <w:adjustRightInd w:val="0"/>
              <w:spacing w:before="40" w:after="40" w:line="240" w:lineRule="auto"/>
              <w:jc w:val="left"/>
              <w:rPr>
                <w:rStyle w:val="SubtleEmphasis"/>
                <w:b/>
              </w:rPr>
            </w:pPr>
            <w:r w:rsidRPr="00893E42">
              <w:rPr>
                <w:rStyle w:val="SubtleEmphasis"/>
                <w:b/>
              </w:rPr>
              <w:t>Total liabilities</w:t>
            </w:r>
          </w:p>
        </w:tc>
        <w:tc>
          <w:tcPr>
            <w:tcW w:w="1039"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129,204</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128,473</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132,224</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0.6%</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(2.8%)</w:t>
            </w:r>
          </w:p>
        </w:tc>
      </w:tr>
      <w:tr w:rsidR="00F5102E" w:rsidRPr="00CD4DB9" w:rsidTr="005F5BF6">
        <w:trPr>
          <w:trHeight w:val="330"/>
          <w:jc w:val="center"/>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F5102E" w:rsidRPr="00893E42" w:rsidRDefault="00F5102E" w:rsidP="00014E92">
            <w:pPr>
              <w:autoSpaceDE w:val="0"/>
              <w:autoSpaceDN w:val="0"/>
              <w:adjustRightInd w:val="0"/>
              <w:spacing w:before="40" w:after="40" w:line="240" w:lineRule="auto"/>
              <w:jc w:val="left"/>
              <w:rPr>
                <w:rStyle w:val="SubtleEmphasis"/>
                <w:b/>
              </w:rPr>
            </w:pPr>
            <w:r w:rsidRPr="00893E42">
              <w:rPr>
                <w:rStyle w:val="SubtleEmphasis"/>
                <w:b/>
              </w:rPr>
              <w:t>Net assets</w:t>
            </w:r>
          </w:p>
        </w:tc>
        <w:tc>
          <w:tcPr>
            <w:tcW w:w="1039"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2,271,09</w:t>
            </w:r>
            <w:r w:rsidR="005F5BF6">
              <w:rPr>
                <w:b/>
                <w:color w:val="000000"/>
                <w:spacing w:val="0"/>
                <w:kern w:val="0"/>
              </w:rPr>
              <w:t>4</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2,101,273</w:t>
            </w:r>
          </w:p>
        </w:tc>
        <w:tc>
          <w:tcPr>
            <w:tcW w:w="1040"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1,724,605</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8.1%</w:t>
            </w:r>
          </w:p>
        </w:tc>
        <w:tc>
          <w:tcPr>
            <w:tcW w:w="904" w:type="dxa"/>
            <w:tcBorders>
              <w:top w:val="nil"/>
              <w:left w:val="nil"/>
              <w:bottom w:val="single" w:sz="4" w:space="0" w:color="auto"/>
              <w:right w:val="single" w:sz="4" w:space="0" w:color="auto"/>
            </w:tcBorders>
            <w:shd w:val="clear" w:color="auto" w:fill="auto"/>
            <w:noWrap/>
            <w:hideMark/>
          </w:tcPr>
          <w:p w:rsidR="00F5102E" w:rsidRPr="00F5102E" w:rsidRDefault="00F5102E" w:rsidP="00F5102E">
            <w:pPr>
              <w:spacing w:before="0" w:after="0" w:line="240" w:lineRule="auto"/>
              <w:jc w:val="center"/>
              <w:rPr>
                <w:b/>
                <w:color w:val="000000"/>
                <w:spacing w:val="0"/>
                <w:kern w:val="0"/>
              </w:rPr>
            </w:pPr>
            <w:r w:rsidRPr="00F5102E">
              <w:rPr>
                <w:b/>
                <w:color w:val="000000"/>
                <w:spacing w:val="0"/>
                <w:kern w:val="0"/>
              </w:rPr>
              <w:t>21.8%</w:t>
            </w:r>
          </w:p>
        </w:tc>
      </w:tr>
    </w:tbl>
    <w:p w:rsidR="003D5DCE" w:rsidRPr="003B6962" w:rsidRDefault="00D24DE7" w:rsidP="00893E42">
      <w:pPr>
        <w:pStyle w:val="Heading3"/>
      </w:pPr>
      <w:r>
        <w:br w:type="page"/>
      </w:r>
      <w:r w:rsidR="003B6962" w:rsidRPr="003B6962">
        <w:lastRenderedPageBreak/>
        <w:t>Table 4</w:t>
      </w:r>
      <w:r w:rsidR="003B6962">
        <w:t>-</w:t>
      </w:r>
      <w:r w:rsidR="00052A63">
        <w:t>Cashf</w:t>
      </w:r>
      <w:r w:rsidR="003D5DCE" w:rsidRPr="003B6962">
        <w:t>low</w:t>
      </w:r>
    </w:p>
    <w:tbl>
      <w:tblPr>
        <w:tblW w:w="0" w:type="auto"/>
        <w:jc w:val="center"/>
        <w:tblInd w:w="-2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8"/>
        <w:gridCol w:w="992"/>
        <w:gridCol w:w="992"/>
        <w:gridCol w:w="993"/>
      </w:tblGrid>
      <w:tr w:rsidR="003D5DCE" w:rsidRPr="00921494" w:rsidTr="00BD01A9">
        <w:trPr>
          <w:trHeight w:val="154"/>
          <w:jc w:val="center"/>
        </w:trPr>
        <w:tc>
          <w:tcPr>
            <w:tcW w:w="5048" w:type="dxa"/>
            <w:shd w:val="clear" w:color="auto" w:fill="BACFF8"/>
            <w:noWrap/>
            <w:vAlign w:val="center"/>
            <w:hideMark/>
          </w:tcPr>
          <w:p w:rsidR="003D5DCE" w:rsidRPr="00B55059" w:rsidRDefault="00052A63" w:rsidP="00374A23">
            <w:pPr>
              <w:spacing w:before="40" w:after="40" w:line="240" w:lineRule="auto"/>
              <w:jc w:val="left"/>
              <w:rPr>
                <w:rStyle w:val="Emphasis"/>
              </w:rPr>
            </w:pPr>
            <w:proofErr w:type="spellStart"/>
            <w:r w:rsidRPr="00B55059">
              <w:rPr>
                <w:rStyle w:val="Emphasis"/>
              </w:rPr>
              <w:t>Cashf</w:t>
            </w:r>
            <w:r w:rsidR="003D5DCE" w:rsidRPr="00B55059">
              <w:rPr>
                <w:rStyle w:val="Emphasis"/>
              </w:rPr>
              <w:t>low</w:t>
            </w:r>
            <w:proofErr w:type="spellEnd"/>
            <w:r w:rsidR="003D5DCE" w:rsidRPr="00B55059">
              <w:rPr>
                <w:rStyle w:val="Emphasis"/>
              </w:rPr>
              <w:t xml:space="preserve"> Statement ($'000)</w:t>
            </w:r>
          </w:p>
        </w:tc>
        <w:tc>
          <w:tcPr>
            <w:tcW w:w="2977" w:type="dxa"/>
            <w:gridSpan w:val="3"/>
            <w:shd w:val="clear" w:color="auto" w:fill="BACFF8"/>
            <w:noWrap/>
            <w:vAlign w:val="center"/>
            <w:hideMark/>
          </w:tcPr>
          <w:p w:rsidR="003D5DCE" w:rsidRPr="00374A23" w:rsidRDefault="003D5DCE" w:rsidP="00374A23">
            <w:pPr>
              <w:spacing w:before="40" w:after="40" w:line="240" w:lineRule="auto"/>
              <w:jc w:val="center"/>
              <w:rPr>
                <w:rStyle w:val="IntenseEmphasis"/>
              </w:rPr>
            </w:pPr>
            <w:r w:rsidRPr="00374A23">
              <w:rPr>
                <w:rStyle w:val="IntenseEmphasis"/>
              </w:rPr>
              <w:t>Year ended 30 June</w:t>
            </w:r>
          </w:p>
        </w:tc>
      </w:tr>
      <w:tr w:rsidR="003D5DCE" w:rsidRPr="00921494" w:rsidTr="00BD01A9">
        <w:trPr>
          <w:trHeight w:val="154"/>
          <w:jc w:val="center"/>
        </w:trPr>
        <w:tc>
          <w:tcPr>
            <w:tcW w:w="5048" w:type="dxa"/>
            <w:shd w:val="clear" w:color="auto" w:fill="FFFFFF"/>
            <w:noWrap/>
            <w:vAlign w:val="center"/>
            <w:hideMark/>
          </w:tcPr>
          <w:p w:rsidR="003D5DCE" w:rsidRPr="00921494" w:rsidRDefault="003D5DCE" w:rsidP="003D5DCE">
            <w:pPr>
              <w:spacing w:before="40" w:after="40"/>
              <w:rPr>
                <w:rFonts w:cs="Calibri"/>
                <w:b/>
                <w:bCs/>
                <w:color w:val="000000"/>
              </w:rPr>
            </w:pPr>
          </w:p>
        </w:tc>
        <w:tc>
          <w:tcPr>
            <w:tcW w:w="992" w:type="dxa"/>
            <w:shd w:val="clear" w:color="auto" w:fill="FFFFFF"/>
            <w:noWrap/>
            <w:vAlign w:val="center"/>
            <w:hideMark/>
          </w:tcPr>
          <w:p w:rsidR="003D5DCE" w:rsidRPr="00374A23" w:rsidRDefault="003D5DCE" w:rsidP="003D5DCE">
            <w:pPr>
              <w:spacing w:before="40" w:after="40"/>
              <w:jc w:val="center"/>
              <w:rPr>
                <w:rStyle w:val="IntenseEmphasis"/>
              </w:rPr>
            </w:pPr>
            <w:r w:rsidRPr="00374A23">
              <w:rPr>
                <w:rStyle w:val="IntenseEmphasis"/>
              </w:rPr>
              <w:t>2011</w:t>
            </w:r>
          </w:p>
        </w:tc>
        <w:tc>
          <w:tcPr>
            <w:tcW w:w="992" w:type="dxa"/>
            <w:shd w:val="clear" w:color="auto" w:fill="FFFFFF"/>
            <w:noWrap/>
            <w:vAlign w:val="center"/>
            <w:hideMark/>
          </w:tcPr>
          <w:p w:rsidR="003D5DCE" w:rsidRPr="00374A23" w:rsidRDefault="003D5DCE" w:rsidP="003D5DCE">
            <w:pPr>
              <w:spacing w:before="40" w:after="40"/>
              <w:jc w:val="center"/>
              <w:rPr>
                <w:rStyle w:val="IntenseEmphasis"/>
              </w:rPr>
            </w:pPr>
            <w:r w:rsidRPr="00374A23">
              <w:rPr>
                <w:rStyle w:val="IntenseEmphasis"/>
              </w:rPr>
              <w:t>2010</w:t>
            </w:r>
          </w:p>
        </w:tc>
        <w:tc>
          <w:tcPr>
            <w:tcW w:w="993" w:type="dxa"/>
            <w:shd w:val="clear" w:color="auto" w:fill="FFFFFF"/>
            <w:noWrap/>
            <w:vAlign w:val="center"/>
            <w:hideMark/>
          </w:tcPr>
          <w:p w:rsidR="003D5DCE" w:rsidRPr="00374A23" w:rsidRDefault="003D5DCE" w:rsidP="003D5DCE">
            <w:pPr>
              <w:spacing w:before="40" w:after="40"/>
              <w:jc w:val="center"/>
              <w:rPr>
                <w:rStyle w:val="IntenseEmphasis"/>
              </w:rPr>
            </w:pPr>
            <w:r w:rsidRPr="00374A23">
              <w:rPr>
                <w:rStyle w:val="IntenseEmphasis"/>
              </w:rPr>
              <w:t>2009</w:t>
            </w:r>
          </w:p>
        </w:tc>
      </w:tr>
      <w:tr w:rsidR="00060F9F" w:rsidRPr="0019676C" w:rsidTr="00BD01A9">
        <w:trPr>
          <w:trHeight w:val="308"/>
          <w:jc w:val="center"/>
        </w:trPr>
        <w:tc>
          <w:tcPr>
            <w:tcW w:w="5048" w:type="dxa"/>
            <w:shd w:val="clear" w:color="auto" w:fill="auto"/>
            <w:vAlign w:val="center"/>
            <w:hideMark/>
          </w:tcPr>
          <w:p w:rsidR="00060F9F" w:rsidRPr="00B55059" w:rsidRDefault="00060F9F" w:rsidP="00052A63">
            <w:pPr>
              <w:autoSpaceDE w:val="0"/>
              <w:autoSpaceDN w:val="0"/>
              <w:adjustRightInd w:val="0"/>
              <w:spacing w:before="40" w:after="40" w:line="240" w:lineRule="auto"/>
              <w:jc w:val="left"/>
              <w:rPr>
                <w:rStyle w:val="SubtleEmphasis"/>
              </w:rPr>
            </w:pPr>
            <w:proofErr w:type="spellStart"/>
            <w:r w:rsidRPr="00B55059">
              <w:rPr>
                <w:rStyle w:val="SubtleEmphasis"/>
              </w:rPr>
              <w:t>Cashflows</w:t>
            </w:r>
            <w:proofErr w:type="spellEnd"/>
            <w:r w:rsidRPr="00B55059">
              <w:rPr>
                <w:rStyle w:val="SubtleEmphasis"/>
              </w:rPr>
              <w:t xml:space="preserve"> from operating activities</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53,189</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51,489</w:t>
            </w:r>
          </w:p>
        </w:tc>
        <w:tc>
          <w:tcPr>
            <w:tcW w:w="993"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49,612</w:t>
            </w:r>
          </w:p>
        </w:tc>
      </w:tr>
      <w:tr w:rsidR="00060F9F" w:rsidRPr="0019676C" w:rsidTr="00BD01A9">
        <w:trPr>
          <w:trHeight w:val="308"/>
          <w:jc w:val="center"/>
        </w:trPr>
        <w:tc>
          <w:tcPr>
            <w:tcW w:w="5048" w:type="dxa"/>
            <w:shd w:val="clear" w:color="auto" w:fill="auto"/>
            <w:vAlign w:val="center"/>
            <w:hideMark/>
          </w:tcPr>
          <w:p w:rsidR="00060F9F" w:rsidRPr="00B55059" w:rsidRDefault="00060F9F" w:rsidP="00052A63">
            <w:pPr>
              <w:autoSpaceDE w:val="0"/>
              <w:autoSpaceDN w:val="0"/>
              <w:adjustRightInd w:val="0"/>
              <w:spacing w:before="40" w:after="40" w:line="240" w:lineRule="auto"/>
              <w:jc w:val="left"/>
              <w:rPr>
                <w:rStyle w:val="SubtleEmphasis"/>
              </w:rPr>
            </w:pPr>
            <w:proofErr w:type="spellStart"/>
            <w:r w:rsidRPr="00B55059">
              <w:rPr>
                <w:rStyle w:val="SubtleEmphasis"/>
              </w:rPr>
              <w:t>Cashflows</w:t>
            </w:r>
            <w:proofErr w:type="spellEnd"/>
            <w:r w:rsidRPr="00B55059">
              <w:rPr>
                <w:rStyle w:val="SubtleEmphasis"/>
              </w:rPr>
              <w:t xml:space="preserve"> from investing activities</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4,129</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(55,520)</w:t>
            </w:r>
          </w:p>
        </w:tc>
        <w:tc>
          <w:tcPr>
            <w:tcW w:w="993"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(67,163)</w:t>
            </w:r>
          </w:p>
        </w:tc>
      </w:tr>
      <w:tr w:rsidR="00060F9F" w:rsidRPr="0019676C" w:rsidTr="00BD01A9">
        <w:trPr>
          <w:trHeight w:val="242"/>
          <w:jc w:val="center"/>
        </w:trPr>
        <w:tc>
          <w:tcPr>
            <w:tcW w:w="5048" w:type="dxa"/>
            <w:shd w:val="clear" w:color="auto" w:fill="auto"/>
            <w:vAlign w:val="center"/>
            <w:hideMark/>
          </w:tcPr>
          <w:p w:rsidR="00060F9F" w:rsidRPr="00B55059" w:rsidRDefault="00060F9F" w:rsidP="00893E42">
            <w:pPr>
              <w:autoSpaceDE w:val="0"/>
              <w:autoSpaceDN w:val="0"/>
              <w:adjustRightInd w:val="0"/>
              <w:spacing w:before="40" w:after="40" w:line="240" w:lineRule="auto"/>
              <w:jc w:val="right"/>
              <w:rPr>
                <w:rStyle w:val="SubtleEmphasis"/>
              </w:rPr>
            </w:pPr>
            <w:r w:rsidRPr="00B55059">
              <w:rPr>
                <w:rStyle w:val="SubtleEmphasis"/>
              </w:rPr>
              <w:t>Proceeds from borrowings and advances</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7,606</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6,034</w:t>
            </w:r>
          </w:p>
        </w:tc>
        <w:tc>
          <w:tcPr>
            <w:tcW w:w="993"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82</w:t>
            </w:r>
          </w:p>
        </w:tc>
      </w:tr>
      <w:tr w:rsidR="00060F9F" w:rsidRPr="0019676C" w:rsidTr="00BD01A9">
        <w:trPr>
          <w:trHeight w:val="317"/>
          <w:jc w:val="center"/>
        </w:trPr>
        <w:tc>
          <w:tcPr>
            <w:tcW w:w="5048" w:type="dxa"/>
            <w:shd w:val="clear" w:color="auto" w:fill="auto"/>
            <w:vAlign w:val="center"/>
            <w:hideMark/>
          </w:tcPr>
          <w:p w:rsidR="00060F9F" w:rsidRPr="00B55059" w:rsidRDefault="00060F9F" w:rsidP="00893E42">
            <w:pPr>
              <w:autoSpaceDE w:val="0"/>
              <w:autoSpaceDN w:val="0"/>
              <w:adjustRightInd w:val="0"/>
              <w:spacing w:before="40" w:after="40" w:line="240" w:lineRule="auto"/>
              <w:jc w:val="right"/>
              <w:rPr>
                <w:rStyle w:val="SubtleEmphasis"/>
              </w:rPr>
            </w:pPr>
            <w:r w:rsidRPr="00B55059">
              <w:rPr>
                <w:rStyle w:val="SubtleEmphasis"/>
              </w:rPr>
              <w:t>Repayment of borrowings and advances</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(8,154)</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(7,983)</w:t>
            </w:r>
          </w:p>
        </w:tc>
        <w:tc>
          <w:tcPr>
            <w:tcW w:w="993"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(8,554)</w:t>
            </w:r>
          </w:p>
        </w:tc>
      </w:tr>
      <w:tr w:rsidR="00060F9F" w:rsidRPr="0019676C" w:rsidTr="00BD01A9">
        <w:trPr>
          <w:trHeight w:val="308"/>
          <w:jc w:val="center"/>
        </w:trPr>
        <w:tc>
          <w:tcPr>
            <w:tcW w:w="5048" w:type="dxa"/>
            <w:shd w:val="clear" w:color="auto" w:fill="auto"/>
            <w:vAlign w:val="center"/>
            <w:hideMark/>
          </w:tcPr>
          <w:p w:rsidR="00060F9F" w:rsidRPr="00B55059" w:rsidRDefault="00060F9F" w:rsidP="003D5DCE">
            <w:pPr>
              <w:autoSpaceDE w:val="0"/>
              <w:autoSpaceDN w:val="0"/>
              <w:adjustRightInd w:val="0"/>
              <w:spacing w:before="40" w:after="40" w:line="240" w:lineRule="auto"/>
              <w:jc w:val="left"/>
              <w:rPr>
                <w:rStyle w:val="SubtleEmphasis"/>
              </w:rPr>
            </w:pPr>
            <w:proofErr w:type="spellStart"/>
            <w:r w:rsidRPr="00B55059">
              <w:rPr>
                <w:rStyle w:val="SubtleEmphasis"/>
              </w:rPr>
              <w:t>Cashflows</w:t>
            </w:r>
            <w:proofErr w:type="spellEnd"/>
            <w:r w:rsidRPr="00B55059">
              <w:rPr>
                <w:rStyle w:val="SubtleEmphasis"/>
              </w:rPr>
              <w:t xml:space="preserve"> from financing activities</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(548)</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(1,949)</w:t>
            </w:r>
          </w:p>
        </w:tc>
        <w:tc>
          <w:tcPr>
            <w:tcW w:w="993"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(8,472)</w:t>
            </w:r>
          </w:p>
        </w:tc>
      </w:tr>
      <w:tr w:rsidR="00060F9F" w:rsidRPr="0019676C" w:rsidTr="00BD01A9">
        <w:trPr>
          <w:trHeight w:val="355"/>
          <w:jc w:val="center"/>
        </w:trPr>
        <w:tc>
          <w:tcPr>
            <w:tcW w:w="5048" w:type="dxa"/>
            <w:shd w:val="clear" w:color="auto" w:fill="auto"/>
            <w:vAlign w:val="center"/>
            <w:hideMark/>
          </w:tcPr>
          <w:p w:rsidR="00060F9F" w:rsidRPr="00893E42" w:rsidRDefault="00060F9F" w:rsidP="003D5DCE">
            <w:pPr>
              <w:autoSpaceDE w:val="0"/>
              <w:autoSpaceDN w:val="0"/>
              <w:adjustRightInd w:val="0"/>
              <w:spacing w:before="40" w:after="40" w:line="240" w:lineRule="auto"/>
              <w:jc w:val="left"/>
              <w:rPr>
                <w:rStyle w:val="SubtleEmphasis"/>
                <w:b/>
              </w:rPr>
            </w:pPr>
            <w:r w:rsidRPr="00893E42">
              <w:rPr>
                <w:rStyle w:val="SubtleEmphasis"/>
                <w:b/>
              </w:rPr>
              <w:t>Net increase/(decrease) in cash and equivalents</w:t>
            </w:r>
          </w:p>
        </w:tc>
        <w:tc>
          <w:tcPr>
            <w:tcW w:w="992" w:type="dxa"/>
            <w:shd w:val="clear" w:color="auto" w:fill="auto"/>
            <w:noWrap/>
            <w:vAlign w:val="center"/>
            <w:hideMark/>
          </w:tcPr>
          <w:p w:rsidR="00060F9F" w:rsidRPr="00E71ABF" w:rsidRDefault="00060F9F" w:rsidP="00182227">
            <w:pPr>
              <w:spacing w:before="0" w:after="0" w:line="240" w:lineRule="auto"/>
              <w:jc w:val="center"/>
              <w:rPr>
                <w:b/>
                <w:color w:val="000000"/>
                <w:spacing w:val="0"/>
                <w:kern w:val="0"/>
              </w:rPr>
            </w:pPr>
            <w:r w:rsidRPr="00E71ABF">
              <w:rPr>
                <w:b/>
                <w:color w:val="000000"/>
                <w:spacing w:val="0"/>
                <w:kern w:val="0"/>
              </w:rPr>
              <w:t>56,770</w:t>
            </w:r>
          </w:p>
        </w:tc>
        <w:tc>
          <w:tcPr>
            <w:tcW w:w="992" w:type="dxa"/>
            <w:shd w:val="clear" w:color="auto" w:fill="auto"/>
            <w:noWrap/>
            <w:vAlign w:val="center"/>
            <w:hideMark/>
          </w:tcPr>
          <w:p w:rsidR="00060F9F" w:rsidRPr="00E71ABF" w:rsidRDefault="00060F9F" w:rsidP="00182227">
            <w:pPr>
              <w:spacing w:before="0" w:after="0" w:line="240" w:lineRule="auto"/>
              <w:jc w:val="center"/>
              <w:rPr>
                <w:b/>
                <w:color w:val="000000"/>
                <w:spacing w:val="0"/>
                <w:kern w:val="0"/>
              </w:rPr>
            </w:pPr>
            <w:r w:rsidRPr="00E71ABF">
              <w:rPr>
                <w:b/>
                <w:color w:val="000000"/>
                <w:spacing w:val="0"/>
                <w:kern w:val="0"/>
              </w:rPr>
              <w:t>(5,980)</w:t>
            </w:r>
          </w:p>
        </w:tc>
        <w:tc>
          <w:tcPr>
            <w:tcW w:w="993" w:type="dxa"/>
            <w:shd w:val="clear" w:color="auto" w:fill="auto"/>
            <w:noWrap/>
            <w:vAlign w:val="center"/>
            <w:hideMark/>
          </w:tcPr>
          <w:p w:rsidR="00060F9F" w:rsidRPr="00E71ABF" w:rsidRDefault="00060F9F" w:rsidP="00182227">
            <w:pPr>
              <w:spacing w:before="0" w:after="0" w:line="240" w:lineRule="auto"/>
              <w:jc w:val="center"/>
              <w:rPr>
                <w:b/>
                <w:color w:val="000000"/>
                <w:spacing w:val="0"/>
                <w:kern w:val="0"/>
              </w:rPr>
            </w:pPr>
            <w:r w:rsidRPr="00E71ABF">
              <w:rPr>
                <w:b/>
                <w:color w:val="000000"/>
                <w:spacing w:val="0"/>
                <w:kern w:val="0"/>
              </w:rPr>
              <w:t>(26,023)</w:t>
            </w:r>
          </w:p>
        </w:tc>
      </w:tr>
      <w:tr w:rsidR="00060F9F" w:rsidRPr="0019676C" w:rsidTr="00BD01A9">
        <w:trPr>
          <w:trHeight w:val="154"/>
          <w:jc w:val="center"/>
        </w:trPr>
        <w:tc>
          <w:tcPr>
            <w:tcW w:w="5048" w:type="dxa"/>
            <w:shd w:val="clear" w:color="auto" w:fill="auto"/>
            <w:noWrap/>
            <w:vAlign w:val="center"/>
            <w:hideMark/>
          </w:tcPr>
          <w:p w:rsidR="00060F9F" w:rsidRPr="00B55059" w:rsidRDefault="00060F9F" w:rsidP="003D5DCE">
            <w:pPr>
              <w:autoSpaceDE w:val="0"/>
              <w:autoSpaceDN w:val="0"/>
              <w:adjustRightInd w:val="0"/>
              <w:spacing w:before="40" w:after="40" w:line="240" w:lineRule="auto"/>
              <w:jc w:val="left"/>
              <w:rPr>
                <w:rStyle w:val="SubtleEmphasis"/>
              </w:rPr>
            </w:pPr>
            <w:r w:rsidRPr="00B55059">
              <w:rPr>
                <w:rStyle w:val="SubtleEmphasis"/>
              </w:rPr>
              <w:t>Cash and equivalents</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84,527</w:t>
            </w:r>
          </w:p>
        </w:tc>
        <w:tc>
          <w:tcPr>
            <w:tcW w:w="992"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27,757</w:t>
            </w:r>
          </w:p>
        </w:tc>
        <w:tc>
          <w:tcPr>
            <w:tcW w:w="993" w:type="dxa"/>
            <w:shd w:val="clear" w:color="auto" w:fill="auto"/>
            <w:noWrap/>
            <w:vAlign w:val="center"/>
            <w:hideMark/>
          </w:tcPr>
          <w:p w:rsidR="00060F9F" w:rsidRPr="00E71ABF" w:rsidRDefault="00060F9F" w:rsidP="00182227">
            <w:pPr>
              <w:spacing w:before="0" w:after="0" w:line="240" w:lineRule="auto"/>
              <w:jc w:val="center"/>
              <w:rPr>
                <w:color w:val="000000"/>
                <w:spacing w:val="0"/>
                <w:kern w:val="0"/>
              </w:rPr>
            </w:pPr>
            <w:r w:rsidRPr="00E71ABF">
              <w:rPr>
                <w:color w:val="000000"/>
                <w:spacing w:val="0"/>
                <w:kern w:val="0"/>
              </w:rPr>
              <w:t>33,737</w:t>
            </w:r>
          </w:p>
        </w:tc>
      </w:tr>
    </w:tbl>
    <w:p w:rsidR="003D5DCE" w:rsidRPr="0019676C" w:rsidRDefault="003D5DCE" w:rsidP="003D5DCE">
      <w:pPr>
        <w:autoSpaceDE w:val="0"/>
        <w:autoSpaceDN w:val="0"/>
        <w:adjustRightInd w:val="0"/>
        <w:spacing w:before="0" w:after="0" w:line="240" w:lineRule="auto"/>
        <w:jc w:val="left"/>
        <w:rPr>
          <w:rFonts w:cs="Calibri"/>
          <w:color w:val="000000"/>
          <w:spacing w:val="0"/>
          <w:kern w:val="0"/>
          <w:lang w:eastAsia="en-US"/>
        </w:rPr>
      </w:pPr>
    </w:p>
    <w:p w:rsidR="008443A5" w:rsidRDefault="008443A5">
      <w:pPr>
        <w:spacing w:before="0" w:after="0" w:line="240" w:lineRule="auto"/>
        <w:jc w:val="left"/>
        <w:rPr>
          <w:b/>
        </w:rPr>
      </w:pPr>
      <w:r>
        <w:rPr>
          <w:b/>
        </w:rPr>
        <w:br w:type="page"/>
      </w:r>
    </w:p>
    <w:p w:rsidR="008443A5" w:rsidRDefault="008443A5" w:rsidP="008443A5">
      <w:pPr>
        <w:pStyle w:val="Heading1"/>
      </w:pPr>
      <w:r>
        <w:lastRenderedPageBreak/>
        <w:t>Appendix B</w:t>
      </w:r>
      <w:r>
        <w:tab/>
      </w:r>
      <w:r>
        <w:tab/>
      </w:r>
      <w:r w:rsidRPr="0018203F">
        <w:t>Glossary</w:t>
      </w:r>
    </w:p>
    <w:p w:rsidR="008443A5" w:rsidRDefault="008443A5" w:rsidP="008443A5">
      <w:pPr>
        <w:spacing w:before="220" w:after="220"/>
        <w:rPr>
          <w:u w:val="single"/>
        </w:rPr>
      </w:pPr>
      <w:r>
        <w:rPr>
          <w:u w:val="single"/>
        </w:rPr>
        <w:t>Asset Revaluations</w:t>
      </w:r>
    </w:p>
    <w:p w:rsidR="008443A5" w:rsidRDefault="008443A5" w:rsidP="008443A5">
      <w:pPr>
        <w:autoSpaceDE w:val="0"/>
        <w:autoSpaceDN w:val="0"/>
        <w:adjustRightInd w:val="0"/>
        <w:spacing w:before="220" w:after="220"/>
        <w:rPr>
          <w:rFonts w:cs="Arial"/>
        </w:rPr>
      </w:pPr>
      <w:r w:rsidRPr="00A8536E">
        <w:rPr>
          <w:rFonts w:cs="Arial"/>
        </w:rPr>
        <w:t>In assessing the financial sustainability of NSW councils, IPART found that not all councils reported assets at fair value.</w:t>
      </w:r>
      <w:r w:rsidRPr="00A8536E">
        <w:rPr>
          <w:rStyle w:val="FootnoteReference"/>
          <w:rFonts w:cs="Arial"/>
        </w:rPr>
        <w:footnoteReference w:id="1"/>
      </w:r>
      <w:r w:rsidRPr="00A8536E">
        <w:rPr>
          <w:rFonts w:cs="Arial"/>
        </w:rPr>
        <w:t xml:space="preserve"> In a circular to all councils in March 2009</w:t>
      </w:r>
      <w:r w:rsidRPr="00A8536E">
        <w:rPr>
          <w:rStyle w:val="FootnoteReference"/>
          <w:rFonts w:cs="Arial"/>
        </w:rPr>
        <w:footnoteReference w:id="2"/>
      </w:r>
      <w:r>
        <w:rPr>
          <w:rFonts w:cs="Arial"/>
        </w:rPr>
        <w:t>,</w:t>
      </w:r>
      <w:r w:rsidRPr="00A8536E">
        <w:rPr>
          <w:rFonts w:cs="Arial"/>
        </w:rPr>
        <w:t xml:space="preserve"> DLG required all NSW councils to revalue their infrastructure assets to recognise the fair value of these </w:t>
      </w:r>
      <w:r>
        <w:rPr>
          <w:rFonts w:cs="Arial"/>
        </w:rPr>
        <w:t>assets by the end of the 2009/</w:t>
      </w:r>
      <w:r w:rsidRPr="00A8536E">
        <w:rPr>
          <w:rFonts w:cs="Arial"/>
        </w:rPr>
        <w:t>10 financial year</w:t>
      </w:r>
      <w:r>
        <w:rPr>
          <w:rFonts w:cs="Arial"/>
        </w:rPr>
        <w:t>.</w:t>
      </w:r>
    </w:p>
    <w:p w:rsidR="008443A5" w:rsidRDefault="008443A5" w:rsidP="008443A5">
      <w:pPr>
        <w:spacing w:before="220" w:after="220"/>
        <w:rPr>
          <w:u w:val="single"/>
        </w:rPr>
      </w:pPr>
      <w:r w:rsidRPr="00832E23">
        <w:rPr>
          <w:u w:val="single"/>
        </w:rPr>
        <w:t>Collaterali</w:t>
      </w:r>
      <w:r>
        <w:rPr>
          <w:u w:val="single"/>
        </w:rPr>
        <w:t>s</w:t>
      </w:r>
      <w:r w:rsidRPr="00832E23">
        <w:rPr>
          <w:u w:val="single"/>
        </w:rPr>
        <w:t xml:space="preserve">ed Debt Obligation </w:t>
      </w:r>
      <w:r>
        <w:rPr>
          <w:u w:val="single"/>
        </w:rPr>
        <w:t>(</w:t>
      </w:r>
      <w:r w:rsidRPr="00832E23">
        <w:rPr>
          <w:u w:val="single"/>
        </w:rPr>
        <w:t>CDO</w:t>
      </w:r>
      <w:r>
        <w:rPr>
          <w:u w:val="single"/>
        </w:rPr>
        <w:t>)</w:t>
      </w:r>
    </w:p>
    <w:p w:rsidR="008443A5" w:rsidRPr="00155E77" w:rsidRDefault="008443A5" w:rsidP="008443A5">
      <w:pPr>
        <w:autoSpaceDE w:val="0"/>
        <w:autoSpaceDN w:val="0"/>
        <w:adjustRightInd w:val="0"/>
        <w:spacing w:before="220" w:after="220"/>
        <w:rPr>
          <w:rFonts w:cs="Arial"/>
        </w:rPr>
      </w:pPr>
      <w:r w:rsidRPr="00155E77">
        <w:rPr>
          <w:rFonts w:cs="Arial"/>
        </w:rPr>
        <w:t xml:space="preserve">CDOs are structured financial securities that </w:t>
      </w:r>
      <w:hyperlink r:id="rId36" w:history="1">
        <w:r w:rsidRPr="00155E77">
          <w:rPr>
            <w:rFonts w:cs="Arial"/>
          </w:rPr>
          <w:t>banks</w:t>
        </w:r>
      </w:hyperlink>
      <w:r w:rsidRPr="00155E77">
        <w:rPr>
          <w:rFonts w:cs="Arial"/>
        </w:rPr>
        <w:t xml:space="preserve"> use to repackage individual loans into a product that can be sold to investors on the secondary market.</w:t>
      </w:r>
    </w:p>
    <w:p w:rsidR="008443A5" w:rsidRPr="00155E77" w:rsidRDefault="008443A5" w:rsidP="008443A5">
      <w:pPr>
        <w:autoSpaceDE w:val="0"/>
        <w:autoSpaceDN w:val="0"/>
        <w:adjustRightInd w:val="0"/>
        <w:spacing w:before="220" w:after="220"/>
        <w:rPr>
          <w:rFonts w:cs="Arial"/>
        </w:rPr>
      </w:pPr>
      <w:r w:rsidRPr="00155E77">
        <w:rPr>
          <w:rFonts w:cs="Arial"/>
        </w:rPr>
        <w:t>In 2007 concerns were heightened in relation to the decline in the “sub-prime” mortgage market in the USA and possible exposure of some NSW councils, holding CDOs and other structured investment products, to losses.</w:t>
      </w:r>
    </w:p>
    <w:p w:rsidR="008443A5" w:rsidRPr="00155E77" w:rsidRDefault="008443A5" w:rsidP="008443A5">
      <w:pPr>
        <w:autoSpaceDE w:val="0"/>
        <w:autoSpaceDN w:val="0"/>
        <w:adjustRightInd w:val="0"/>
        <w:spacing w:before="220" w:after="220"/>
        <w:rPr>
          <w:rFonts w:cs="Arial"/>
        </w:rPr>
      </w:pPr>
      <w:r w:rsidRPr="00155E77">
        <w:rPr>
          <w:rFonts w:cs="Arial"/>
        </w:rPr>
        <w:t>In order to clarify the exposure of NSW councils to any losses, a review was conducted by the DLG with representatives from the Department of Premier and Cabinet and NSW Treasury.</w:t>
      </w:r>
    </w:p>
    <w:p w:rsidR="008443A5" w:rsidRPr="00155E77" w:rsidRDefault="008443A5" w:rsidP="008443A5">
      <w:pPr>
        <w:autoSpaceDE w:val="0"/>
        <w:autoSpaceDN w:val="0"/>
        <w:adjustRightInd w:val="0"/>
        <w:spacing w:before="220" w:after="220"/>
        <w:rPr>
          <w:rFonts w:cs="Arial"/>
        </w:rPr>
      </w:pPr>
      <w:r w:rsidRPr="00155E77">
        <w:rPr>
          <w:rFonts w:cs="Arial"/>
        </w:rPr>
        <w:t>A revised Ministerial investment Order was released by the DLG on 18 August 2008 in response to the review, suspending investments in CDOs, with transitional provisions to provide for existing investments.</w:t>
      </w:r>
    </w:p>
    <w:p w:rsidR="008443A5" w:rsidRPr="00155E77" w:rsidRDefault="008443A5" w:rsidP="008443A5">
      <w:pPr>
        <w:spacing w:before="220" w:after="220"/>
        <w:rPr>
          <w:u w:val="single"/>
        </w:rPr>
      </w:pPr>
      <w:r w:rsidRPr="00155E77">
        <w:rPr>
          <w:u w:val="single"/>
        </w:rPr>
        <w:t>Division of Local Government (DLG)</w:t>
      </w:r>
    </w:p>
    <w:p w:rsidR="008443A5" w:rsidRPr="00155E77" w:rsidRDefault="008443A5" w:rsidP="008443A5">
      <w:pPr>
        <w:autoSpaceDE w:val="0"/>
        <w:autoSpaceDN w:val="0"/>
        <w:adjustRightInd w:val="0"/>
        <w:spacing w:before="220" w:after="220"/>
        <w:rPr>
          <w:rFonts w:cs="Arial"/>
        </w:rPr>
      </w:pPr>
      <w:r w:rsidRPr="00155E77">
        <w:rPr>
          <w:rFonts w:cs="Arial"/>
        </w:rPr>
        <w:t xml:space="preserve">DLG is a division of the NSW Department of Premier and Cabinet and is responsible for local government across NSW.  DLG’s organisational purpose is “to strengthen the local government sector” and its organisational outcome is “successful councils engaging and supporting their communities”.  Operating within several strategic objectives DLG has a policy, legislative, investigative and program focus in matters ranging from local government finance, infrastructure, </w:t>
      </w:r>
      <w:proofErr w:type="gramStart"/>
      <w:r w:rsidRPr="00155E77">
        <w:rPr>
          <w:rFonts w:cs="Arial"/>
        </w:rPr>
        <w:t>governance</w:t>
      </w:r>
      <w:proofErr w:type="gramEnd"/>
      <w:r w:rsidRPr="00155E77">
        <w:rPr>
          <w:rFonts w:cs="Arial"/>
        </w:rPr>
        <w:t>, performance, collaboration and community engagement.  DLG strives to work collaboratively with the local government sector and is the key adviser to the NSW Government on local government matters.</w:t>
      </w:r>
    </w:p>
    <w:p w:rsidR="008443A5" w:rsidRDefault="008443A5" w:rsidP="008443A5">
      <w:pPr>
        <w:spacing w:before="220" w:after="220"/>
        <w:rPr>
          <w:u w:val="single"/>
        </w:rPr>
      </w:pPr>
      <w:r>
        <w:rPr>
          <w:u w:val="single"/>
        </w:rPr>
        <w:t>Depreciation of Infrastructure Assets</w:t>
      </w:r>
    </w:p>
    <w:p w:rsidR="008443A5" w:rsidRDefault="008443A5" w:rsidP="008443A5">
      <w:pPr>
        <w:autoSpaceDE w:val="0"/>
        <w:autoSpaceDN w:val="0"/>
        <w:adjustRightInd w:val="0"/>
        <w:spacing w:before="220" w:after="220"/>
        <w:rPr>
          <w:rFonts w:cs="Arial"/>
        </w:rPr>
      </w:pPr>
      <w:r>
        <w:rPr>
          <w:rFonts w:cs="Arial"/>
        </w:rPr>
        <w:t xml:space="preserve">Linked to the asset revaluations process stated above, </w:t>
      </w:r>
      <w:r w:rsidRPr="00A8536E">
        <w:rPr>
          <w:rFonts w:cs="Arial"/>
        </w:rPr>
        <w:t>IPART’s analysis of case study councils found that this revaluation process resulted in sharp increases in the value of some council’s assets</w:t>
      </w:r>
      <w:r>
        <w:rPr>
          <w:rFonts w:cs="Arial"/>
        </w:rPr>
        <w:t xml:space="preserve">.  </w:t>
      </w:r>
      <w:r w:rsidRPr="00A8536E">
        <w:rPr>
          <w:rFonts w:cs="Arial"/>
        </w:rPr>
        <w:t>In some cases this has led to significantly higher depreciation charges</w:t>
      </w:r>
      <w:r>
        <w:rPr>
          <w:rFonts w:cs="Arial"/>
        </w:rPr>
        <w:t>,</w:t>
      </w:r>
      <w:r w:rsidRPr="00A8536E">
        <w:rPr>
          <w:rFonts w:cs="Arial"/>
        </w:rPr>
        <w:t xml:space="preserve"> and will contribute to higher reported operating deficits.</w:t>
      </w:r>
    </w:p>
    <w:p w:rsidR="00947694" w:rsidRDefault="00947694">
      <w:pPr>
        <w:spacing w:before="0" w:after="0" w:line="240" w:lineRule="auto"/>
        <w:jc w:val="left"/>
        <w:rPr>
          <w:rFonts w:cs="Arial"/>
          <w:u w:val="single"/>
        </w:rPr>
      </w:pPr>
      <w:r>
        <w:rPr>
          <w:rFonts w:cs="Arial"/>
          <w:u w:val="single"/>
        </w:rPr>
        <w:br w:type="page"/>
      </w:r>
    </w:p>
    <w:p w:rsidR="008443A5" w:rsidRDefault="008443A5" w:rsidP="008443A5">
      <w:pPr>
        <w:spacing w:before="220" w:after="220"/>
        <w:rPr>
          <w:rFonts w:cs="Arial"/>
          <w:u w:val="single"/>
        </w:rPr>
      </w:pPr>
      <w:r>
        <w:rPr>
          <w:rFonts w:cs="Arial"/>
          <w:u w:val="single"/>
        </w:rPr>
        <w:lastRenderedPageBreak/>
        <w:t>EBITDA</w:t>
      </w:r>
    </w:p>
    <w:p w:rsidR="008443A5" w:rsidRDefault="008443A5" w:rsidP="008443A5">
      <w:pPr>
        <w:autoSpaceDE w:val="0"/>
        <w:autoSpaceDN w:val="0"/>
        <w:adjustRightInd w:val="0"/>
        <w:spacing w:before="220" w:after="220"/>
        <w:rPr>
          <w:rFonts w:cs="Arial"/>
        </w:rPr>
      </w:pPr>
      <w:r w:rsidRPr="00A8536E">
        <w:rPr>
          <w:rFonts w:cs="Arial"/>
        </w:rPr>
        <w:t xml:space="preserve">EBITDA is an </w:t>
      </w:r>
      <w:hyperlink r:id="rId37" w:tooltip="Acronym" w:history="1">
        <w:r w:rsidRPr="00A8536E">
          <w:rPr>
            <w:rFonts w:cs="Arial"/>
          </w:rPr>
          <w:t>acronym</w:t>
        </w:r>
      </w:hyperlink>
      <w:r w:rsidRPr="00A8536E">
        <w:rPr>
          <w:rFonts w:cs="Arial"/>
        </w:rPr>
        <w:t xml:space="preserve"> for </w:t>
      </w:r>
      <w:r>
        <w:rPr>
          <w:rFonts w:cs="Arial"/>
        </w:rPr>
        <w:t>“</w:t>
      </w:r>
      <w:hyperlink r:id="rId38" w:tooltip="Profit (accounting)" w:history="1">
        <w:r w:rsidRPr="00A8536E">
          <w:rPr>
            <w:rFonts w:cs="Arial"/>
          </w:rPr>
          <w:t>earnings</w:t>
        </w:r>
      </w:hyperlink>
      <w:r w:rsidRPr="00A8536E">
        <w:rPr>
          <w:rFonts w:cs="Arial"/>
        </w:rPr>
        <w:t xml:space="preserve"> before </w:t>
      </w:r>
      <w:hyperlink r:id="rId39" w:tooltip="Interest" w:history="1">
        <w:r w:rsidRPr="00A8536E">
          <w:rPr>
            <w:rFonts w:cs="Arial"/>
          </w:rPr>
          <w:t>interest</w:t>
        </w:r>
      </w:hyperlink>
      <w:r w:rsidRPr="00A8536E">
        <w:rPr>
          <w:rFonts w:cs="Arial"/>
        </w:rPr>
        <w:t xml:space="preserve">, </w:t>
      </w:r>
      <w:hyperlink r:id="rId40" w:tooltip="Taxes" w:history="1">
        <w:r w:rsidRPr="00A8536E">
          <w:rPr>
            <w:rFonts w:cs="Arial"/>
          </w:rPr>
          <w:t>taxes</w:t>
        </w:r>
      </w:hyperlink>
      <w:r w:rsidRPr="00A8536E">
        <w:rPr>
          <w:rFonts w:cs="Arial"/>
        </w:rPr>
        <w:t xml:space="preserve">, </w:t>
      </w:r>
      <w:hyperlink r:id="rId41" w:tooltip="Depreciation" w:history="1">
        <w:r w:rsidRPr="00A8536E">
          <w:rPr>
            <w:rFonts w:cs="Arial"/>
          </w:rPr>
          <w:t>depreciation</w:t>
        </w:r>
      </w:hyperlink>
      <w:r w:rsidRPr="00A8536E">
        <w:rPr>
          <w:rFonts w:cs="Arial"/>
        </w:rPr>
        <w:t xml:space="preserve">, and </w:t>
      </w:r>
      <w:hyperlink r:id="rId42" w:tooltip="Amortization (tax law)" w:history="1">
        <w:r>
          <w:rPr>
            <w:rFonts w:cs="Arial"/>
          </w:rPr>
          <w:t>amortis</w:t>
        </w:r>
        <w:r w:rsidRPr="00A8536E">
          <w:rPr>
            <w:rFonts w:cs="Arial"/>
          </w:rPr>
          <w:t>ation</w:t>
        </w:r>
      </w:hyperlink>
      <w:r w:rsidRPr="00155E77">
        <w:rPr>
          <w:rFonts w:cs="Arial"/>
        </w:rPr>
        <w:t>”</w:t>
      </w:r>
      <w:r>
        <w:rPr>
          <w:rFonts w:cs="Arial"/>
        </w:rPr>
        <w:t xml:space="preserve">.  </w:t>
      </w:r>
      <w:r w:rsidRPr="00A8536E">
        <w:rPr>
          <w:rFonts w:cs="Arial"/>
        </w:rPr>
        <w:t>It</w:t>
      </w:r>
      <w:r>
        <w:rPr>
          <w:rFonts w:cs="Arial"/>
        </w:rPr>
        <w:t xml:space="preserve"> is often</w:t>
      </w:r>
      <w:r w:rsidRPr="00A8536E">
        <w:rPr>
          <w:rFonts w:cs="Arial"/>
        </w:rPr>
        <w:t xml:space="preserve"> used to measure the cash earnings that can be used to pay interest and repay principal.</w:t>
      </w:r>
    </w:p>
    <w:p w:rsidR="008443A5" w:rsidRDefault="008443A5" w:rsidP="008443A5">
      <w:pPr>
        <w:spacing w:before="220" w:after="220"/>
        <w:rPr>
          <w:rFonts w:cs="Arial"/>
          <w:u w:val="single"/>
        </w:rPr>
      </w:pPr>
      <w:r>
        <w:rPr>
          <w:rFonts w:cs="Arial"/>
          <w:u w:val="single"/>
        </w:rPr>
        <w:t>Grants and Contributions for Capital Purposes</w:t>
      </w:r>
    </w:p>
    <w:p w:rsidR="008443A5" w:rsidRPr="00901CFF" w:rsidRDefault="008443A5" w:rsidP="008443A5">
      <w:pPr>
        <w:autoSpaceDE w:val="0"/>
        <w:autoSpaceDN w:val="0"/>
        <w:adjustRightInd w:val="0"/>
        <w:spacing w:before="220" w:after="220"/>
        <w:rPr>
          <w:rFonts w:cs="Arial"/>
        </w:rPr>
      </w:pPr>
      <w:r w:rsidRPr="00901CFF">
        <w:rPr>
          <w:rFonts w:cs="Arial"/>
        </w:rPr>
        <w:t>Councils receive various capital grants and contributions that are nearly always</w:t>
      </w:r>
      <w:r>
        <w:rPr>
          <w:rFonts w:cs="Arial"/>
        </w:rPr>
        <w:t xml:space="preserve"> 100%</w:t>
      </w:r>
      <w:r w:rsidRPr="00901CFF">
        <w:rPr>
          <w:rFonts w:cs="Arial"/>
        </w:rPr>
        <w:t xml:space="preserve"> specific in nature. Due to the fact that they are </w:t>
      </w:r>
      <w:r>
        <w:rPr>
          <w:rFonts w:cs="Arial"/>
        </w:rPr>
        <w:t xml:space="preserve">specifically </w:t>
      </w:r>
      <w:r w:rsidRPr="00901CFF">
        <w:rPr>
          <w:rFonts w:cs="Arial"/>
        </w:rPr>
        <w:t xml:space="preserve">allocated in respect of capital expenditure they are excluded from the operational result for </w:t>
      </w:r>
      <w:r>
        <w:rPr>
          <w:rFonts w:cs="Arial"/>
        </w:rPr>
        <w:t>a</w:t>
      </w:r>
      <w:r w:rsidRPr="00901CFF">
        <w:rPr>
          <w:rFonts w:cs="Arial"/>
        </w:rPr>
        <w:t xml:space="preserve"> </w:t>
      </w:r>
      <w:r>
        <w:rPr>
          <w:rFonts w:cs="Arial"/>
        </w:rPr>
        <w:t>c</w:t>
      </w:r>
      <w:r w:rsidRPr="00901CFF">
        <w:rPr>
          <w:rFonts w:cs="Arial"/>
        </w:rPr>
        <w:t>ouncil</w:t>
      </w:r>
      <w:r>
        <w:rPr>
          <w:rFonts w:cs="Arial"/>
        </w:rPr>
        <w:t xml:space="preserve"> in </w:t>
      </w:r>
      <w:proofErr w:type="spellStart"/>
      <w:r>
        <w:rPr>
          <w:rFonts w:cs="Arial"/>
        </w:rPr>
        <w:t>TCorp’s</w:t>
      </w:r>
      <w:proofErr w:type="spellEnd"/>
      <w:r>
        <w:rPr>
          <w:rFonts w:cs="Arial"/>
        </w:rPr>
        <w:t xml:space="preserve"> analysis of</w:t>
      </w:r>
      <w:r w:rsidRPr="00901CFF">
        <w:rPr>
          <w:rFonts w:cs="Arial"/>
        </w:rPr>
        <w:t xml:space="preserve"> a </w:t>
      </w:r>
      <w:r>
        <w:rPr>
          <w:rFonts w:cs="Arial"/>
        </w:rPr>
        <w:t>c</w:t>
      </w:r>
      <w:r w:rsidRPr="00901CFF">
        <w:rPr>
          <w:rFonts w:cs="Arial"/>
        </w:rPr>
        <w:t xml:space="preserve">ouncil’s financial position. </w:t>
      </w:r>
    </w:p>
    <w:p w:rsidR="008443A5" w:rsidRPr="00A8536E" w:rsidRDefault="008443A5" w:rsidP="008443A5">
      <w:pPr>
        <w:spacing w:before="220" w:after="220"/>
        <w:rPr>
          <w:rFonts w:cs="Arial"/>
          <w:u w:val="single"/>
        </w:rPr>
      </w:pPr>
      <w:r w:rsidRPr="00A8536E">
        <w:rPr>
          <w:rFonts w:cs="Arial"/>
          <w:u w:val="single"/>
        </w:rPr>
        <w:t xml:space="preserve">Grants </w:t>
      </w:r>
      <w:r>
        <w:rPr>
          <w:rFonts w:cs="Arial"/>
          <w:u w:val="single"/>
        </w:rPr>
        <w:t>and</w:t>
      </w:r>
      <w:r w:rsidRPr="00A8536E">
        <w:rPr>
          <w:rFonts w:cs="Arial"/>
          <w:u w:val="single"/>
        </w:rPr>
        <w:t xml:space="preserve"> Contributions for Operating Purposes</w:t>
      </w:r>
    </w:p>
    <w:p w:rsidR="008443A5" w:rsidRPr="00A8536E" w:rsidRDefault="008443A5" w:rsidP="008443A5">
      <w:pPr>
        <w:autoSpaceDE w:val="0"/>
        <w:autoSpaceDN w:val="0"/>
        <w:adjustRightInd w:val="0"/>
        <w:spacing w:before="220" w:after="220"/>
        <w:rPr>
          <w:rFonts w:cs="Arial"/>
        </w:rPr>
      </w:pPr>
      <w:r w:rsidRPr="00A8536E">
        <w:rPr>
          <w:rFonts w:cs="Arial"/>
        </w:rPr>
        <w:t>General purpose grants are distributed through the NSW Local Government Grants Commission</w:t>
      </w:r>
      <w:r>
        <w:rPr>
          <w:rFonts w:cs="Arial"/>
        </w:rPr>
        <w:t xml:space="preserve">.  </w:t>
      </w:r>
      <w:r w:rsidRPr="00A8536E">
        <w:rPr>
          <w:rFonts w:cs="Arial"/>
        </w:rPr>
        <w:t>When distributing the general component each council receives a minimum amount, which would be the amount if 30% of all funds were allocated on a per capita basis</w:t>
      </w:r>
      <w:r>
        <w:rPr>
          <w:rFonts w:cs="Arial"/>
        </w:rPr>
        <w:t xml:space="preserve">.  </w:t>
      </w:r>
      <w:r w:rsidRPr="00A8536E">
        <w:rPr>
          <w:rFonts w:cs="Arial"/>
        </w:rPr>
        <w:t>When distributing the other 70%, the Grants Commission attempts to assess the extent of relative disadvantage between councils</w:t>
      </w:r>
      <w:r>
        <w:rPr>
          <w:rFonts w:cs="Arial"/>
        </w:rPr>
        <w:t xml:space="preserve">.  </w:t>
      </w:r>
      <w:r w:rsidRPr="00A8536E">
        <w:rPr>
          <w:rFonts w:cs="Arial"/>
        </w:rPr>
        <w:t>The approach taken considers cost disadvantage in the provision of services on the one hand and an assessment of revenue raising capacity on the other.</w:t>
      </w:r>
    </w:p>
    <w:p w:rsidR="008443A5" w:rsidRDefault="008443A5" w:rsidP="008443A5">
      <w:pPr>
        <w:autoSpaceDE w:val="0"/>
        <w:autoSpaceDN w:val="0"/>
        <w:adjustRightInd w:val="0"/>
        <w:spacing w:before="220" w:after="220"/>
        <w:rPr>
          <w:rFonts w:cs="Arial"/>
        </w:rPr>
      </w:pPr>
      <w:r>
        <w:rPr>
          <w:rFonts w:cs="Arial"/>
        </w:rPr>
        <w:t>Councils also receive specific operating grants for one-off specific projects that are distributed to be spent directly on the project that the funding was allocated to.</w:t>
      </w:r>
    </w:p>
    <w:p w:rsidR="008443A5" w:rsidRDefault="008443A5" w:rsidP="008443A5">
      <w:pPr>
        <w:spacing w:before="220" w:after="220"/>
        <w:rPr>
          <w:rFonts w:cs="Arial"/>
          <w:u w:val="single"/>
        </w:rPr>
      </w:pPr>
      <w:r>
        <w:rPr>
          <w:rFonts w:cs="Arial"/>
          <w:u w:val="single"/>
        </w:rPr>
        <w:t xml:space="preserve">Independent Commission </w:t>
      </w:r>
      <w:proofErr w:type="gramStart"/>
      <w:r>
        <w:rPr>
          <w:rFonts w:cs="Arial"/>
          <w:u w:val="single"/>
        </w:rPr>
        <w:t>A</w:t>
      </w:r>
      <w:r w:rsidRPr="00AF6AF3">
        <w:rPr>
          <w:rFonts w:cs="Arial"/>
          <w:u w:val="single"/>
        </w:rPr>
        <w:t>gainst</w:t>
      </w:r>
      <w:proofErr w:type="gramEnd"/>
      <w:r w:rsidRPr="00AF6AF3">
        <w:rPr>
          <w:rFonts w:cs="Arial"/>
          <w:u w:val="single"/>
        </w:rPr>
        <w:t xml:space="preserve"> Corruption (ICAC)</w:t>
      </w:r>
    </w:p>
    <w:p w:rsidR="008443A5" w:rsidRPr="00AF6AF3" w:rsidRDefault="008443A5" w:rsidP="008443A5">
      <w:pPr>
        <w:autoSpaceDE w:val="0"/>
        <w:autoSpaceDN w:val="0"/>
        <w:adjustRightInd w:val="0"/>
        <w:spacing w:before="220" w:after="220"/>
        <w:rPr>
          <w:rFonts w:cs="Arial"/>
        </w:rPr>
      </w:pPr>
      <w:r w:rsidRPr="00AF6AF3">
        <w:rPr>
          <w:rFonts w:cs="Arial"/>
        </w:rPr>
        <w:t>ICAC was established by the NSW Government in 1989 in response to growing community concern about the integrity of public administration in NSW. </w:t>
      </w:r>
    </w:p>
    <w:p w:rsidR="008443A5" w:rsidRPr="00AF6AF3" w:rsidRDefault="008443A5" w:rsidP="008443A5">
      <w:pPr>
        <w:autoSpaceDE w:val="0"/>
        <w:autoSpaceDN w:val="0"/>
        <w:adjustRightInd w:val="0"/>
        <w:spacing w:before="220" w:after="220"/>
        <w:rPr>
          <w:rFonts w:cs="Arial"/>
        </w:rPr>
      </w:pPr>
      <w:r w:rsidRPr="00AF6AF3">
        <w:rPr>
          <w:rFonts w:cs="Arial"/>
        </w:rPr>
        <w:t>The jurisdiction of the ICAC extends to all NSW public sector agencies (except the NSW Police Force) and employees, including government departments, local councils, members of Parliament, ministers, the judiciary and the governor. The ICAC's jurisdiction also extends to those performing public official functions.</w:t>
      </w:r>
    </w:p>
    <w:p w:rsidR="008443A5" w:rsidRDefault="008443A5" w:rsidP="008443A5">
      <w:pPr>
        <w:spacing w:before="220" w:after="220"/>
        <w:rPr>
          <w:u w:val="single"/>
        </w:rPr>
      </w:pPr>
      <w:r>
        <w:rPr>
          <w:u w:val="single"/>
        </w:rPr>
        <w:t>Independent Pricing and Regulatory Tribunal (IPART)</w:t>
      </w:r>
    </w:p>
    <w:p w:rsidR="008443A5" w:rsidRDefault="008443A5" w:rsidP="008443A5">
      <w:pPr>
        <w:autoSpaceDE w:val="0"/>
        <w:autoSpaceDN w:val="0"/>
        <w:adjustRightInd w:val="0"/>
        <w:spacing w:before="220" w:after="220"/>
        <w:rPr>
          <w:rFonts w:cs="Arial"/>
        </w:rPr>
      </w:pPr>
      <w:r w:rsidRPr="00DD09B6">
        <w:rPr>
          <w:rFonts w:cs="Arial"/>
        </w:rPr>
        <w:t xml:space="preserve">IPART has </w:t>
      </w:r>
      <w:r>
        <w:rPr>
          <w:rFonts w:cs="Arial"/>
        </w:rPr>
        <w:t>four</w:t>
      </w:r>
      <w:r w:rsidRPr="00DD09B6">
        <w:rPr>
          <w:rFonts w:cs="Arial"/>
        </w:rPr>
        <w:t xml:space="preserve"> main functions relating to the 152 local councils in NSW</w:t>
      </w:r>
      <w:r>
        <w:rPr>
          <w:rFonts w:cs="Arial"/>
        </w:rPr>
        <w:t xml:space="preserve">.  </w:t>
      </w:r>
      <w:r w:rsidRPr="00DD09B6">
        <w:rPr>
          <w:rFonts w:cs="Arial"/>
        </w:rPr>
        <w:t xml:space="preserve">Each year, IPART determines the rate </w:t>
      </w:r>
      <w:proofErr w:type="gramStart"/>
      <w:r w:rsidRPr="00DD09B6">
        <w:rPr>
          <w:rFonts w:cs="Arial"/>
        </w:rPr>
        <w:t>peg,</w:t>
      </w:r>
      <w:proofErr w:type="gramEnd"/>
      <w:r w:rsidRPr="00DD09B6">
        <w:rPr>
          <w:rFonts w:cs="Arial"/>
        </w:rPr>
        <w:t xml:space="preserve"> or the allowable annual increase in</w:t>
      </w:r>
      <w:r>
        <w:rPr>
          <w:rFonts w:cs="Arial"/>
        </w:rPr>
        <w:t xml:space="preserve"> general income for councils.  They</w:t>
      </w:r>
      <w:r w:rsidRPr="00DD09B6">
        <w:rPr>
          <w:rFonts w:cs="Arial"/>
        </w:rPr>
        <w:t> also review and determine council applications for increases in general income above the rate peg, k</w:t>
      </w:r>
      <w:r>
        <w:rPr>
          <w:rFonts w:cs="Arial"/>
        </w:rPr>
        <w:t>nown as “Special Rate Variations”.  They</w:t>
      </w:r>
      <w:r w:rsidRPr="00DD09B6">
        <w:rPr>
          <w:rFonts w:cs="Arial"/>
        </w:rPr>
        <w:t xml:space="preserve"> approve increa</w:t>
      </w:r>
      <w:r>
        <w:rPr>
          <w:rFonts w:cs="Arial"/>
        </w:rPr>
        <w:t>ses in council minimum rates.  They</w:t>
      </w:r>
      <w:r w:rsidRPr="00DD09B6">
        <w:rPr>
          <w:rFonts w:cs="Arial"/>
        </w:rPr>
        <w:t xml:space="preserve"> also review council development contributions plans that propose contribution levels that exceed caps set by the Government.</w:t>
      </w:r>
    </w:p>
    <w:p w:rsidR="008443A5" w:rsidRPr="00413515" w:rsidRDefault="008443A5" w:rsidP="008443A5">
      <w:pPr>
        <w:pStyle w:val="NormalWeb"/>
        <w:spacing w:before="220" w:beforeAutospacing="0" w:after="220" w:afterAutospacing="0" w:line="276" w:lineRule="auto"/>
        <w:jc w:val="both"/>
        <w:rPr>
          <w:rFonts w:ascii="Arial Narrow" w:hAnsi="Arial Narrow"/>
          <w:sz w:val="22"/>
          <w:szCs w:val="22"/>
          <w:u w:val="single"/>
        </w:rPr>
      </w:pPr>
      <w:r>
        <w:rPr>
          <w:rFonts w:ascii="Arial Narrow" w:hAnsi="Arial Narrow" w:cs="Arial"/>
          <w:sz w:val="22"/>
          <w:szCs w:val="22"/>
          <w:u w:val="single"/>
        </w:rPr>
        <w:t>Infrastructure B</w:t>
      </w:r>
      <w:r w:rsidRPr="00413515">
        <w:rPr>
          <w:rFonts w:ascii="Arial Narrow" w:hAnsi="Arial Narrow" w:cs="Arial"/>
          <w:sz w:val="22"/>
          <w:szCs w:val="22"/>
          <w:u w:val="single"/>
        </w:rPr>
        <w:t>acklog</w:t>
      </w:r>
    </w:p>
    <w:p w:rsidR="008443A5" w:rsidRPr="00C67816" w:rsidRDefault="008443A5" w:rsidP="008443A5">
      <w:pPr>
        <w:autoSpaceDE w:val="0"/>
        <w:autoSpaceDN w:val="0"/>
        <w:adjustRightInd w:val="0"/>
        <w:spacing w:before="220" w:after="220"/>
        <w:rPr>
          <w:rFonts w:cs="Arial"/>
        </w:rPr>
      </w:pPr>
      <w:r w:rsidRPr="00C67816">
        <w:rPr>
          <w:rFonts w:cs="Arial"/>
        </w:rPr>
        <w:t>Infrastructure backlog is defined as the estimated cost to bring infrastructure, building, other structures and depreciable land improvements to a satisfactory standard, measured at a particular point in time. It is unaudited and stated within Special Schedule 7 that accompanies the council’s audited annual financial statements.</w:t>
      </w:r>
    </w:p>
    <w:p w:rsidR="008443A5" w:rsidRDefault="008443A5">
      <w:pPr>
        <w:spacing w:before="0" w:after="0" w:line="240" w:lineRule="auto"/>
        <w:jc w:val="left"/>
        <w:rPr>
          <w:rFonts w:cs="Arial"/>
          <w:u w:val="single"/>
        </w:rPr>
      </w:pPr>
      <w:r>
        <w:rPr>
          <w:rFonts w:cs="Arial"/>
          <w:u w:val="single"/>
        </w:rPr>
        <w:br w:type="page"/>
      </w:r>
    </w:p>
    <w:p w:rsidR="008443A5" w:rsidRPr="00E82BB4" w:rsidRDefault="008443A5" w:rsidP="008443A5">
      <w:pPr>
        <w:spacing w:before="220" w:after="220"/>
        <w:rPr>
          <w:rFonts w:cs="Arial"/>
          <w:u w:val="single"/>
        </w:rPr>
      </w:pPr>
      <w:r w:rsidRPr="00E82BB4">
        <w:rPr>
          <w:rFonts w:cs="Arial"/>
          <w:u w:val="single"/>
        </w:rPr>
        <w:lastRenderedPageBreak/>
        <w:t xml:space="preserve">Integrated Planning </w:t>
      </w:r>
      <w:r>
        <w:rPr>
          <w:rFonts w:cs="Arial"/>
          <w:u w:val="single"/>
        </w:rPr>
        <w:t>and</w:t>
      </w:r>
      <w:r w:rsidRPr="00E82BB4">
        <w:rPr>
          <w:rFonts w:cs="Arial"/>
          <w:u w:val="single"/>
        </w:rPr>
        <w:t xml:space="preserve"> Reporting</w:t>
      </w:r>
      <w:r>
        <w:rPr>
          <w:rFonts w:cs="Arial"/>
          <w:u w:val="single"/>
        </w:rPr>
        <w:t xml:space="preserve"> (IP&amp;R) Framework</w:t>
      </w:r>
    </w:p>
    <w:p w:rsidR="008443A5" w:rsidRDefault="008443A5" w:rsidP="008443A5">
      <w:pPr>
        <w:spacing w:before="220" w:after="220"/>
      </w:pPr>
      <w:r>
        <w:rPr>
          <w:rFonts w:cs="Arial"/>
        </w:rPr>
        <w:t xml:space="preserve">As part of the NSW </w:t>
      </w:r>
      <w:r w:rsidRPr="00E82BB4">
        <w:rPr>
          <w:rFonts w:cs="Arial"/>
        </w:rPr>
        <w:t xml:space="preserve">Government’s </w:t>
      </w:r>
      <w:r w:rsidRPr="00E82BB4">
        <w:t xml:space="preserve">commitment to a strong and sustainable local government system, the </w:t>
      </w:r>
      <w:r w:rsidRPr="00E82BB4">
        <w:rPr>
          <w:i/>
          <w:iCs/>
        </w:rPr>
        <w:t>Local Government Amendment (Planning and Reporting) Act 2009</w:t>
      </w:r>
      <w:r w:rsidRPr="00E82BB4">
        <w:t xml:space="preserve"> was assented on 1 October 2009</w:t>
      </w:r>
      <w:r>
        <w:t xml:space="preserve">.  From this legislative reform the IP&amp;R framework was </w:t>
      </w:r>
      <w:r w:rsidRPr="00E82BB4">
        <w:t>devised to replace the former Management Plan and Social Plan with an integrated framework</w:t>
      </w:r>
      <w:r>
        <w:t xml:space="preserve">.  </w:t>
      </w:r>
      <w:r w:rsidRPr="00E82BB4">
        <w:t>It also includes a new requirement to prepare a long-term Community Strategic Plan and Resourcing Strategy</w:t>
      </w:r>
      <w:r>
        <w:t xml:space="preserve">.  </w:t>
      </w:r>
      <w:r w:rsidRPr="00E82BB4">
        <w:t xml:space="preserve">The </w:t>
      </w:r>
      <w:r>
        <w:t xml:space="preserve">other </w:t>
      </w:r>
      <w:r w:rsidRPr="00E82BB4">
        <w:t xml:space="preserve">essential elements of the new framework are </w:t>
      </w:r>
      <w:r>
        <w:t>a Long-Term Financial Plan (LTFP), Operational Plan and Delivery Program and an Asset Management Plan</w:t>
      </w:r>
      <w:r w:rsidRPr="00E82BB4">
        <w:t>.</w:t>
      </w:r>
    </w:p>
    <w:p w:rsidR="008443A5" w:rsidRDefault="008443A5" w:rsidP="008443A5">
      <w:pPr>
        <w:spacing w:before="220" w:after="220"/>
        <w:rPr>
          <w:u w:val="single"/>
        </w:rPr>
      </w:pPr>
      <w:r>
        <w:rPr>
          <w:u w:val="single"/>
        </w:rPr>
        <w:t>Local Government Cost Index (LGCI)</w:t>
      </w:r>
    </w:p>
    <w:p w:rsidR="008443A5" w:rsidRPr="00155E77" w:rsidRDefault="008443A5" w:rsidP="008443A5">
      <w:pPr>
        <w:autoSpaceDE w:val="0"/>
        <w:autoSpaceDN w:val="0"/>
        <w:adjustRightInd w:val="0"/>
        <w:spacing w:before="220" w:after="220"/>
        <w:rPr>
          <w:rFonts w:cs="Arial"/>
        </w:rPr>
      </w:pPr>
      <w:r w:rsidRPr="00155E77">
        <w:rPr>
          <w:rFonts w:cs="Arial"/>
        </w:rPr>
        <w:t>The LGCI is a measure of movements in the unit costs incurred by NSW councils for ordinary council activities funded from general rate revenue. The LGCI is designed to measure how much the price of a fixed “basket” of inputs acquired by councils in a given period compares with the price of the same set of inputs in the base period.  The LGCI is measured by IPART.</w:t>
      </w:r>
    </w:p>
    <w:p w:rsidR="008443A5" w:rsidRPr="00B64CA1" w:rsidRDefault="008443A5" w:rsidP="008443A5">
      <w:pPr>
        <w:autoSpaceDE w:val="0"/>
        <w:autoSpaceDN w:val="0"/>
        <w:adjustRightInd w:val="0"/>
        <w:spacing w:before="220" w:after="220"/>
        <w:rPr>
          <w:rFonts w:cs="BookAntiqua"/>
          <w:color w:val="000000"/>
          <w:u w:val="single"/>
        </w:rPr>
      </w:pPr>
      <w:r w:rsidRPr="00B64CA1">
        <w:rPr>
          <w:rFonts w:cs="BookAntiqua"/>
          <w:color w:val="000000"/>
          <w:u w:val="single"/>
        </w:rPr>
        <w:t>Net Assets</w:t>
      </w:r>
    </w:p>
    <w:p w:rsidR="008443A5" w:rsidRPr="00155E77" w:rsidRDefault="008443A5" w:rsidP="008443A5">
      <w:pPr>
        <w:autoSpaceDE w:val="0"/>
        <w:autoSpaceDN w:val="0"/>
        <w:adjustRightInd w:val="0"/>
        <w:spacing w:before="220" w:after="220"/>
        <w:rPr>
          <w:rFonts w:cs="Arial"/>
        </w:rPr>
      </w:pPr>
      <w:r>
        <w:rPr>
          <w:rFonts w:cs="Arial"/>
        </w:rPr>
        <w:t xml:space="preserve">Net Assets is measured as total assets less total liabilities.  </w:t>
      </w:r>
      <w:r w:rsidRPr="00B64CA1">
        <w:rPr>
          <w:rFonts w:cs="Arial"/>
        </w:rPr>
        <w:t xml:space="preserve">The Asset Revaluations over the </w:t>
      </w:r>
      <w:r>
        <w:rPr>
          <w:rFonts w:cs="Arial"/>
        </w:rPr>
        <w:t xml:space="preserve">past </w:t>
      </w:r>
      <w:r w:rsidRPr="00B64CA1">
        <w:rPr>
          <w:rFonts w:cs="Arial"/>
        </w:rPr>
        <w:t xml:space="preserve">years have resulted in a high level of volatility in </w:t>
      </w:r>
      <w:r>
        <w:rPr>
          <w:rFonts w:cs="Arial"/>
        </w:rPr>
        <w:t xml:space="preserve">many </w:t>
      </w:r>
      <w:proofErr w:type="gramStart"/>
      <w:r>
        <w:rPr>
          <w:rFonts w:cs="Arial"/>
        </w:rPr>
        <w:t>councils’</w:t>
      </w:r>
      <w:proofErr w:type="gramEnd"/>
      <w:r>
        <w:rPr>
          <w:rFonts w:cs="Arial"/>
        </w:rPr>
        <w:t xml:space="preserve"> </w:t>
      </w:r>
      <w:r w:rsidRPr="00B64CA1">
        <w:rPr>
          <w:rFonts w:cs="Arial"/>
        </w:rPr>
        <w:t>Net Assets</w:t>
      </w:r>
      <w:r>
        <w:rPr>
          <w:rFonts w:cs="Arial"/>
        </w:rPr>
        <w:t xml:space="preserve"> figure</w:t>
      </w:r>
      <w:r w:rsidRPr="00B64CA1">
        <w:rPr>
          <w:rFonts w:cs="Arial"/>
        </w:rPr>
        <w:t xml:space="preserve">.  Consequently, in the short term the value of Net Assets is not necessarily an informative indicator of performance.  In the medium to long term however, this is a key indicator of a </w:t>
      </w:r>
      <w:r>
        <w:rPr>
          <w:rFonts w:cs="Arial"/>
        </w:rPr>
        <w:t>c</w:t>
      </w:r>
      <w:r w:rsidRPr="00B64CA1">
        <w:rPr>
          <w:rFonts w:cs="Arial"/>
        </w:rPr>
        <w:t xml:space="preserve">ouncil’s capacity to add value to its operations.  Over time, Net Assets should increase at least in line with inflation plus an allowance for increased population and/or improved or increased services.  Declining Net Assets is a key indicator of the </w:t>
      </w:r>
      <w:r>
        <w:rPr>
          <w:rFonts w:cs="Arial"/>
        </w:rPr>
        <w:t>c</w:t>
      </w:r>
      <w:r w:rsidRPr="00B64CA1">
        <w:rPr>
          <w:rFonts w:cs="Arial"/>
        </w:rPr>
        <w:t>ouncil’s assets not being able to susta</w:t>
      </w:r>
      <w:r>
        <w:rPr>
          <w:rFonts w:cs="Arial"/>
        </w:rPr>
        <w:t>in ongoing operations</w:t>
      </w:r>
      <w:r w:rsidRPr="00B64CA1">
        <w:rPr>
          <w:rFonts w:cs="Arial"/>
        </w:rPr>
        <w:t>.</w:t>
      </w:r>
    </w:p>
    <w:p w:rsidR="008443A5" w:rsidRPr="009359A1" w:rsidRDefault="008443A5" w:rsidP="008443A5">
      <w:pPr>
        <w:spacing w:before="220" w:after="220"/>
        <w:rPr>
          <w:rFonts w:cs="Arial"/>
          <w:u w:val="single"/>
        </w:rPr>
      </w:pPr>
      <w:r w:rsidRPr="009359A1">
        <w:rPr>
          <w:rFonts w:cs="Arial"/>
          <w:u w:val="single"/>
        </w:rPr>
        <w:t>R</w:t>
      </w:r>
      <w:r>
        <w:rPr>
          <w:rFonts w:cs="Arial"/>
          <w:u w:val="single"/>
        </w:rPr>
        <w:t>oads and Maritime Services (R</w:t>
      </w:r>
      <w:r w:rsidRPr="009359A1">
        <w:rPr>
          <w:rFonts w:cs="Arial"/>
          <w:u w:val="single"/>
        </w:rPr>
        <w:t>MS</w:t>
      </w:r>
      <w:r>
        <w:rPr>
          <w:rFonts w:cs="Arial"/>
          <w:u w:val="single"/>
        </w:rPr>
        <w:t>)</w:t>
      </w:r>
    </w:p>
    <w:p w:rsidR="008443A5" w:rsidRPr="00155E77" w:rsidRDefault="008443A5" w:rsidP="008443A5">
      <w:pPr>
        <w:autoSpaceDE w:val="0"/>
        <w:autoSpaceDN w:val="0"/>
        <w:adjustRightInd w:val="0"/>
        <w:spacing w:before="220" w:after="220"/>
        <w:rPr>
          <w:rFonts w:cs="Arial"/>
        </w:rPr>
      </w:pPr>
      <w:proofErr w:type="gramStart"/>
      <w:r w:rsidRPr="00155E77">
        <w:rPr>
          <w:rFonts w:cs="Arial"/>
        </w:rPr>
        <w:t>The NSW State Government agency with responsibility for roads and maritime services, formerly the Roads and Traffic Authority (RTA).</w:t>
      </w:r>
      <w:proofErr w:type="gramEnd"/>
    </w:p>
    <w:p w:rsidR="008443A5" w:rsidRPr="00EF1DB2" w:rsidRDefault="008443A5" w:rsidP="008443A5">
      <w:pPr>
        <w:spacing w:before="220" w:after="220"/>
        <w:rPr>
          <w:rFonts w:cs="Arial"/>
          <w:u w:val="single"/>
        </w:rPr>
      </w:pPr>
      <w:r w:rsidRPr="00EF1DB2">
        <w:rPr>
          <w:rFonts w:cs="Arial"/>
          <w:u w:val="single"/>
        </w:rPr>
        <w:t>S</w:t>
      </w:r>
      <w:r>
        <w:rPr>
          <w:rFonts w:cs="Arial"/>
          <w:u w:val="single"/>
        </w:rPr>
        <w:t xml:space="preserve">ection </w:t>
      </w:r>
      <w:r w:rsidRPr="00EF1DB2">
        <w:rPr>
          <w:rFonts w:cs="Arial"/>
          <w:u w:val="single"/>
        </w:rPr>
        <w:t>64 Contribution</w:t>
      </w:r>
    </w:p>
    <w:p w:rsidR="008443A5" w:rsidRPr="00155E77" w:rsidRDefault="008443A5" w:rsidP="008443A5">
      <w:pPr>
        <w:autoSpaceDE w:val="0"/>
        <w:autoSpaceDN w:val="0"/>
        <w:adjustRightInd w:val="0"/>
        <w:spacing w:before="220" w:after="220"/>
        <w:rPr>
          <w:rFonts w:cs="Arial"/>
        </w:rPr>
      </w:pPr>
      <w:r w:rsidRPr="00155E77">
        <w:rPr>
          <w:rFonts w:cs="Arial"/>
        </w:rPr>
        <w:t>Development Servicing Plans (DSPs) are made under the provisions of Section 64 of the Local Government Act 1993 and Sections 305 to 307 of the Water Management Act 2000.</w:t>
      </w:r>
    </w:p>
    <w:p w:rsidR="008443A5" w:rsidRPr="00155E77" w:rsidRDefault="008443A5" w:rsidP="008443A5">
      <w:pPr>
        <w:autoSpaceDE w:val="0"/>
        <w:autoSpaceDN w:val="0"/>
        <w:adjustRightInd w:val="0"/>
        <w:spacing w:before="220" w:after="220"/>
        <w:rPr>
          <w:rFonts w:cs="Arial"/>
        </w:rPr>
      </w:pPr>
      <w:r w:rsidRPr="00155E77">
        <w:rPr>
          <w:rFonts w:cs="Arial"/>
        </w:rPr>
        <w:t>DSPs outline the developer charges applicable to developments for Water, Sewer and Stormwater within each Local Government Area.</w:t>
      </w:r>
    </w:p>
    <w:p w:rsidR="008443A5" w:rsidRDefault="008443A5" w:rsidP="008443A5">
      <w:pPr>
        <w:spacing w:before="220" w:after="220"/>
        <w:rPr>
          <w:rFonts w:cs="Arial"/>
          <w:u w:val="single"/>
        </w:rPr>
      </w:pPr>
      <w:r w:rsidRPr="00EF1DB2">
        <w:rPr>
          <w:rFonts w:cs="Arial"/>
          <w:u w:val="single"/>
        </w:rPr>
        <w:t>S</w:t>
      </w:r>
      <w:r>
        <w:rPr>
          <w:rFonts w:cs="Arial"/>
          <w:u w:val="single"/>
        </w:rPr>
        <w:t xml:space="preserve">ection </w:t>
      </w:r>
      <w:r w:rsidRPr="00EF1DB2">
        <w:rPr>
          <w:rFonts w:cs="Arial"/>
          <w:u w:val="single"/>
        </w:rPr>
        <w:t>94 Contribution</w:t>
      </w:r>
    </w:p>
    <w:p w:rsidR="008443A5" w:rsidRPr="00155E77" w:rsidRDefault="008443A5" w:rsidP="008443A5">
      <w:pPr>
        <w:autoSpaceDE w:val="0"/>
        <w:autoSpaceDN w:val="0"/>
        <w:adjustRightInd w:val="0"/>
        <w:spacing w:before="220" w:after="220"/>
        <w:rPr>
          <w:rFonts w:cs="Arial"/>
        </w:rPr>
      </w:pPr>
      <w:r w:rsidRPr="00155E77">
        <w:rPr>
          <w:rFonts w:cs="Arial"/>
        </w:rPr>
        <w:t>Section 94 of the Environmental Planning and Assessment Act 1979 allows councils to collect contributions from the development of land in order to help meet the additional demand for community and open space facilities generated by that development.</w:t>
      </w:r>
    </w:p>
    <w:p w:rsidR="008443A5" w:rsidRPr="00155E77" w:rsidRDefault="008443A5" w:rsidP="008443A5">
      <w:pPr>
        <w:autoSpaceDE w:val="0"/>
        <w:autoSpaceDN w:val="0"/>
        <w:adjustRightInd w:val="0"/>
        <w:spacing w:before="220" w:after="220"/>
        <w:rPr>
          <w:rFonts w:cs="Arial"/>
        </w:rPr>
      </w:pPr>
      <w:r>
        <w:rPr>
          <w:rFonts w:cs="Arial"/>
        </w:rPr>
        <w:t>It</w:t>
      </w:r>
      <w:r w:rsidRPr="00EF1DB2">
        <w:rPr>
          <w:rFonts w:cs="Arial"/>
        </w:rPr>
        <w:t xml:space="preserve"> is a monetary contribution levied on developers at the development application stage to help pay for additional community facilities and/or infrastructure such as provision of libraries; community facilities; open space; roads; drainage</w:t>
      </w:r>
      <w:r>
        <w:rPr>
          <w:rFonts w:cs="Arial"/>
        </w:rPr>
        <w:t>;</w:t>
      </w:r>
      <w:r w:rsidRPr="00EF1DB2">
        <w:rPr>
          <w:rFonts w:cs="Arial"/>
        </w:rPr>
        <w:t xml:space="preserve"> and the provision of car parking in commercial areas.</w:t>
      </w:r>
    </w:p>
    <w:p w:rsidR="008443A5" w:rsidRDefault="008443A5" w:rsidP="008443A5">
      <w:pPr>
        <w:autoSpaceDE w:val="0"/>
        <w:autoSpaceDN w:val="0"/>
        <w:adjustRightInd w:val="0"/>
        <w:spacing w:before="220" w:after="220"/>
        <w:rPr>
          <w:rFonts w:cs="Arial"/>
        </w:rPr>
      </w:pPr>
      <w:r w:rsidRPr="00EF1DB2">
        <w:rPr>
          <w:rFonts w:cs="Arial"/>
        </w:rPr>
        <w:lastRenderedPageBreak/>
        <w:t>The contribution is determ</w:t>
      </w:r>
      <w:r>
        <w:rPr>
          <w:rFonts w:cs="Arial"/>
        </w:rPr>
        <w:t>ined based on a formula which should be</w:t>
      </w:r>
      <w:r w:rsidRPr="00EF1DB2">
        <w:rPr>
          <w:rFonts w:cs="Arial"/>
        </w:rPr>
        <w:t xml:space="preserve"> contained in </w:t>
      </w:r>
      <w:r>
        <w:rPr>
          <w:rFonts w:cs="Arial"/>
        </w:rPr>
        <w:t>each c</w:t>
      </w:r>
      <w:r w:rsidRPr="00EF1DB2">
        <w:rPr>
          <w:rFonts w:cs="Arial"/>
        </w:rPr>
        <w:t xml:space="preserve">ouncil's </w:t>
      </w:r>
      <w:hyperlink r:id="rId43" w:tgtFrame="_blank" w:history="1">
        <w:r w:rsidRPr="00155E77">
          <w:t>Section 94 Contribution Plan</w:t>
        </w:r>
      </w:hyperlink>
      <w:r w:rsidRPr="00EF1DB2">
        <w:rPr>
          <w:rFonts w:cs="Arial"/>
        </w:rPr>
        <w:t xml:space="preserve">, which also identifies the basis for levying the contributions and the works to be undertaken with the funds </w:t>
      </w:r>
      <w:proofErr w:type="gramStart"/>
      <w:r w:rsidRPr="00EF1DB2">
        <w:rPr>
          <w:rFonts w:cs="Arial"/>
        </w:rPr>
        <w:t>raised</w:t>
      </w:r>
      <w:proofErr w:type="gramEnd"/>
      <w:r>
        <w:rPr>
          <w:rFonts w:cs="Arial"/>
        </w:rPr>
        <w:t xml:space="preserve">.  </w:t>
      </w:r>
    </w:p>
    <w:p w:rsidR="008443A5" w:rsidRPr="00A807EC" w:rsidRDefault="008443A5" w:rsidP="008443A5">
      <w:pPr>
        <w:spacing w:before="220" w:after="220"/>
        <w:rPr>
          <w:u w:val="single"/>
        </w:rPr>
      </w:pPr>
      <w:r w:rsidRPr="00A807EC">
        <w:rPr>
          <w:u w:val="single"/>
        </w:rPr>
        <w:t>Special Rate Variation</w:t>
      </w:r>
      <w:r>
        <w:rPr>
          <w:u w:val="single"/>
        </w:rPr>
        <w:t xml:space="preserve"> (SRV)</w:t>
      </w:r>
    </w:p>
    <w:p w:rsidR="008443A5" w:rsidRPr="00155E77" w:rsidRDefault="008443A5" w:rsidP="008443A5">
      <w:pPr>
        <w:autoSpaceDE w:val="0"/>
        <w:autoSpaceDN w:val="0"/>
        <w:adjustRightInd w:val="0"/>
        <w:spacing w:before="220" w:after="220"/>
        <w:rPr>
          <w:rFonts w:cs="Arial"/>
        </w:rPr>
      </w:pPr>
      <w:r w:rsidRPr="00155E77">
        <w:rPr>
          <w:rFonts w:cs="Arial"/>
        </w:rPr>
        <w:t>A SRV allows councils to increase general income above the rate peg, under the provisions of the Local Government Act 1993.  There are two types of special rate variations that a council may apply for: </w:t>
      </w:r>
    </w:p>
    <w:p w:rsidR="008443A5" w:rsidRDefault="008443A5" w:rsidP="008443A5">
      <w:pPr>
        <w:pStyle w:val="ListParagraph"/>
        <w:numPr>
          <w:ilvl w:val="0"/>
          <w:numId w:val="11"/>
        </w:numPr>
        <w:spacing w:before="220" w:after="220" w:line="276" w:lineRule="auto"/>
        <w:rPr>
          <w:rFonts w:cs="Arial"/>
        </w:rPr>
      </w:pPr>
      <w:r w:rsidRPr="00A807EC">
        <w:rPr>
          <w:rFonts w:cs="Arial"/>
        </w:rPr>
        <w:t>a single year variation (section 508(2)) or</w:t>
      </w:r>
    </w:p>
    <w:p w:rsidR="008443A5" w:rsidRPr="009A1015" w:rsidRDefault="008443A5" w:rsidP="008443A5">
      <w:pPr>
        <w:pStyle w:val="ListParagraph"/>
        <w:numPr>
          <w:ilvl w:val="0"/>
          <w:numId w:val="11"/>
        </w:numPr>
        <w:spacing w:before="220" w:after="220" w:line="276" w:lineRule="auto"/>
        <w:rPr>
          <w:rFonts w:cs="Arial"/>
        </w:rPr>
      </w:pPr>
      <w:proofErr w:type="gramStart"/>
      <w:r w:rsidRPr="00A807EC">
        <w:rPr>
          <w:rFonts w:cs="Arial"/>
        </w:rPr>
        <w:t>a</w:t>
      </w:r>
      <w:proofErr w:type="gramEnd"/>
      <w:r w:rsidRPr="00A807EC">
        <w:rPr>
          <w:rFonts w:cs="Arial"/>
        </w:rPr>
        <w:t xml:space="preserve"> multi-year variation for between two to seven years (section 508A</w:t>
      </w:r>
      <w:r w:rsidRPr="00A807EC">
        <w:rPr>
          <w:rFonts w:cs="Arial"/>
          <w:color w:val="333333"/>
        </w:rPr>
        <w:t>).</w:t>
      </w:r>
    </w:p>
    <w:p w:rsidR="008443A5" w:rsidRDefault="008443A5" w:rsidP="008443A5">
      <w:pPr>
        <w:autoSpaceDE w:val="0"/>
        <w:autoSpaceDN w:val="0"/>
        <w:adjustRightInd w:val="0"/>
        <w:spacing w:before="220" w:after="220"/>
        <w:rPr>
          <w:rFonts w:cs="Arial"/>
        </w:rPr>
      </w:pPr>
      <w:r w:rsidRPr="00155E77">
        <w:rPr>
          <w:rFonts w:cs="Arial"/>
        </w:rPr>
        <w:t>The applications are reviewed and approved by IPART.</w:t>
      </w:r>
    </w:p>
    <w:p w:rsidR="008443A5" w:rsidRDefault="008443A5" w:rsidP="008443A5">
      <w:pPr>
        <w:spacing w:before="220" w:after="220"/>
        <w:jc w:val="center"/>
        <w:rPr>
          <w:rFonts w:cs="Arial"/>
          <w:u w:val="single"/>
        </w:rPr>
      </w:pPr>
    </w:p>
    <w:p w:rsidR="008443A5" w:rsidRDefault="008443A5" w:rsidP="008443A5">
      <w:pPr>
        <w:rPr>
          <w:rFonts w:cs="Arial"/>
          <w:b/>
        </w:rPr>
      </w:pPr>
      <w:r>
        <w:rPr>
          <w:rFonts w:cs="Arial"/>
          <w:b/>
        </w:rPr>
        <w:br w:type="page"/>
      </w:r>
    </w:p>
    <w:p w:rsidR="008443A5" w:rsidRPr="00FD7D9A" w:rsidRDefault="008443A5" w:rsidP="008443A5">
      <w:pPr>
        <w:spacing w:before="220" w:after="220" w:line="180" w:lineRule="atLeast"/>
        <w:rPr>
          <w:rFonts w:cs="Arial"/>
          <w:b/>
        </w:rPr>
      </w:pPr>
      <w:r w:rsidRPr="00FD7D9A">
        <w:rPr>
          <w:rFonts w:cs="Arial"/>
          <w:b/>
        </w:rPr>
        <w:lastRenderedPageBreak/>
        <w:t>Ratio Explanations</w:t>
      </w:r>
    </w:p>
    <w:p w:rsidR="008443A5" w:rsidRPr="00FD7D9A" w:rsidRDefault="008443A5" w:rsidP="008443A5">
      <w:pPr>
        <w:spacing w:before="220" w:after="220"/>
        <w:rPr>
          <w:rFonts w:cs="Arial"/>
          <w:u w:val="single"/>
        </w:rPr>
      </w:pPr>
      <w:r w:rsidRPr="00FD7D9A">
        <w:rPr>
          <w:rFonts w:cs="Arial"/>
          <w:u w:val="single"/>
        </w:rPr>
        <w:t>Asset Maintenance Ratio</w:t>
      </w:r>
    </w:p>
    <w:p w:rsidR="008443A5" w:rsidRDefault="008443A5" w:rsidP="008443A5">
      <w:pPr>
        <w:autoSpaceDE w:val="0"/>
        <w:autoSpaceDN w:val="0"/>
        <w:adjustRightInd w:val="0"/>
        <w:spacing w:before="220" w:after="220"/>
        <w:rPr>
          <w:rFonts w:cs="Arial"/>
        </w:rPr>
      </w:pPr>
      <w:r>
        <w:rPr>
          <w:rFonts w:cs="Arial"/>
        </w:rPr>
        <w:t>Benchmark = Greater than 1.0x</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w:t>
      </w:r>
      <w:r>
        <w:rPr>
          <w:rFonts w:cs="Arial"/>
        </w:rPr>
        <w:t>a</w:t>
      </w:r>
      <w:r w:rsidRPr="00FD7D9A">
        <w:rPr>
          <w:rFonts w:cs="Arial"/>
        </w:rPr>
        <w:t xml:space="preserve">ctual </w:t>
      </w:r>
      <w:r>
        <w:rPr>
          <w:rFonts w:cs="Arial"/>
        </w:rPr>
        <w:t>a</w:t>
      </w:r>
      <w:r w:rsidRPr="00FD7D9A">
        <w:rPr>
          <w:rFonts w:cs="Arial"/>
        </w:rPr>
        <w:t xml:space="preserve">sset </w:t>
      </w:r>
      <w:r>
        <w:rPr>
          <w:rFonts w:cs="Arial"/>
        </w:rPr>
        <w:t>m</w:t>
      </w:r>
      <w:r w:rsidRPr="00FD7D9A">
        <w:rPr>
          <w:rFonts w:cs="Arial"/>
        </w:rPr>
        <w:t xml:space="preserve">aintenance / </w:t>
      </w:r>
      <w:r>
        <w:rPr>
          <w:rFonts w:cs="Arial"/>
        </w:rPr>
        <w:t>r</w:t>
      </w:r>
      <w:r w:rsidRPr="00FD7D9A">
        <w:rPr>
          <w:rFonts w:cs="Arial"/>
        </w:rPr>
        <w:t xml:space="preserve">equired </w:t>
      </w:r>
      <w:r>
        <w:rPr>
          <w:rFonts w:cs="Arial"/>
        </w:rPr>
        <w:t>a</w:t>
      </w:r>
      <w:r w:rsidRPr="00FD7D9A">
        <w:rPr>
          <w:rFonts w:cs="Arial"/>
        </w:rPr>
        <w:t xml:space="preserve">sset </w:t>
      </w:r>
      <w:r>
        <w:rPr>
          <w:rFonts w:cs="Arial"/>
        </w:rPr>
        <w:t>m</w:t>
      </w:r>
      <w:r w:rsidRPr="00FD7D9A">
        <w:rPr>
          <w:rFonts w:cs="Arial"/>
        </w:rPr>
        <w:t>aintenance</w:t>
      </w:r>
    </w:p>
    <w:p w:rsidR="008443A5" w:rsidRPr="00FD7D9A" w:rsidRDefault="008443A5" w:rsidP="008443A5">
      <w:pPr>
        <w:autoSpaceDE w:val="0"/>
        <w:autoSpaceDN w:val="0"/>
        <w:adjustRightInd w:val="0"/>
        <w:spacing w:before="220" w:after="220"/>
        <w:rPr>
          <w:rFonts w:cs="Arial"/>
        </w:rPr>
      </w:pPr>
      <w:r w:rsidRPr="00FD7D9A">
        <w:rPr>
          <w:rFonts w:cs="Arial"/>
        </w:rPr>
        <w:t xml:space="preserve">This ratio compares actual versus required annual asset maintenance, as detailed in Special Schedule 7.  A ratio of above 1.0x indicates that </w:t>
      </w:r>
      <w:r>
        <w:rPr>
          <w:rFonts w:cs="Arial"/>
        </w:rPr>
        <w:t>the c</w:t>
      </w:r>
      <w:r w:rsidRPr="00FD7D9A">
        <w:rPr>
          <w:rFonts w:cs="Arial"/>
        </w:rPr>
        <w:t>ouncil is investing enough funds within the year to stop the infrastructure backlog from growing.</w:t>
      </w:r>
    </w:p>
    <w:p w:rsidR="008443A5" w:rsidRDefault="008443A5" w:rsidP="008443A5">
      <w:pPr>
        <w:spacing w:before="220" w:after="220"/>
        <w:rPr>
          <w:rFonts w:cs="Arial"/>
          <w:u w:val="single"/>
        </w:rPr>
      </w:pPr>
      <w:r>
        <w:rPr>
          <w:rFonts w:cs="Arial"/>
          <w:u w:val="single"/>
        </w:rPr>
        <w:t>Building and Infrastructure Renewals Ratio</w:t>
      </w:r>
    </w:p>
    <w:p w:rsidR="008443A5" w:rsidRDefault="008443A5" w:rsidP="008443A5">
      <w:pPr>
        <w:autoSpaceDE w:val="0"/>
        <w:autoSpaceDN w:val="0"/>
        <w:adjustRightInd w:val="0"/>
        <w:spacing w:before="220" w:after="220"/>
        <w:rPr>
          <w:rFonts w:cs="Arial"/>
        </w:rPr>
      </w:pPr>
      <w:r>
        <w:rPr>
          <w:rFonts w:cs="Arial"/>
        </w:rPr>
        <w:t>Benchmark = Greater than 1.0x</w:t>
      </w:r>
    </w:p>
    <w:p w:rsidR="008443A5" w:rsidRDefault="008443A5" w:rsidP="008443A5">
      <w:pPr>
        <w:autoSpaceDE w:val="0"/>
        <w:autoSpaceDN w:val="0"/>
        <w:adjustRightInd w:val="0"/>
        <w:spacing w:before="220" w:after="220"/>
        <w:rPr>
          <w:rFonts w:cs="Arial"/>
        </w:rPr>
      </w:pPr>
      <w:r>
        <w:rPr>
          <w:rFonts w:cs="Arial"/>
        </w:rPr>
        <w:t>Ratio = Asset renewals / depreciation of building and infrastructure assets</w:t>
      </w:r>
    </w:p>
    <w:p w:rsidR="008443A5" w:rsidRPr="002411D7" w:rsidRDefault="008443A5" w:rsidP="008443A5">
      <w:pPr>
        <w:autoSpaceDE w:val="0"/>
        <w:autoSpaceDN w:val="0"/>
        <w:adjustRightInd w:val="0"/>
        <w:spacing w:before="220" w:after="220"/>
        <w:rPr>
          <w:rFonts w:cs="Arial"/>
        </w:rPr>
      </w:pPr>
      <w:r>
        <w:rPr>
          <w:rFonts w:cs="Arial"/>
        </w:rPr>
        <w:t>This ratio compares the proportion spent on infrastructure asset renewals and the asset’s deterioration measured by its accounting depreciation.  Asset renewal represents the replacement or refurbishment of existing assets to an equivalent capacity or performance as opposed to the acquisition of new assets or the refurbishment of old assets that increase capacity or performance.</w:t>
      </w:r>
    </w:p>
    <w:p w:rsidR="008443A5" w:rsidRPr="00FD7D9A" w:rsidRDefault="008443A5" w:rsidP="008443A5">
      <w:pPr>
        <w:spacing w:before="220" w:after="220"/>
        <w:rPr>
          <w:rFonts w:cs="Arial"/>
          <w:u w:val="single"/>
        </w:rPr>
      </w:pPr>
      <w:r w:rsidRPr="00FD7D9A">
        <w:rPr>
          <w:rFonts w:cs="Arial"/>
          <w:u w:val="single"/>
        </w:rPr>
        <w:t>Cash Expense Cover Ratio</w:t>
      </w:r>
    </w:p>
    <w:p w:rsidR="008443A5" w:rsidRPr="00FD7D9A" w:rsidRDefault="008443A5" w:rsidP="008443A5">
      <w:pPr>
        <w:autoSpaceDE w:val="0"/>
        <w:autoSpaceDN w:val="0"/>
        <w:adjustRightInd w:val="0"/>
        <w:spacing w:before="220" w:after="220"/>
        <w:rPr>
          <w:rFonts w:cs="Arial"/>
        </w:rPr>
      </w:pPr>
      <w:r w:rsidRPr="00FD7D9A">
        <w:rPr>
          <w:rFonts w:cs="Arial"/>
        </w:rPr>
        <w:t>Benchmark = Greater than 3</w:t>
      </w:r>
      <w:r>
        <w:rPr>
          <w:rFonts w:cs="Arial"/>
        </w:rPr>
        <w:t>.0</w:t>
      </w:r>
      <w:r w:rsidRPr="00FD7D9A">
        <w:rPr>
          <w:rFonts w:cs="Arial"/>
        </w:rPr>
        <w:t xml:space="preserve"> months</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w:t>
      </w:r>
      <w:r>
        <w:rPr>
          <w:rFonts w:cs="Arial"/>
        </w:rPr>
        <w:t>c</w:t>
      </w:r>
      <w:r w:rsidRPr="00FD7D9A">
        <w:rPr>
          <w:rFonts w:cs="Arial"/>
        </w:rPr>
        <w:t xml:space="preserve">urrent year’s cash and cash equivalents / </w:t>
      </w:r>
      <w:r w:rsidR="00AC0F4A">
        <w:rPr>
          <w:rFonts w:cs="Arial"/>
        </w:rPr>
        <w:t>(</w:t>
      </w:r>
      <w:r>
        <w:rPr>
          <w:rFonts w:cs="Arial"/>
        </w:rPr>
        <w:t>t</w:t>
      </w:r>
      <w:r w:rsidRPr="00FD7D9A">
        <w:rPr>
          <w:rFonts w:cs="Arial"/>
        </w:rPr>
        <w:t>otal expenses – depreciation – interest costs</w:t>
      </w:r>
      <w:r w:rsidR="00AC0F4A">
        <w:rPr>
          <w:rFonts w:cs="Arial"/>
        </w:rPr>
        <w:t>) *</w:t>
      </w:r>
      <w:r w:rsidR="006258F1">
        <w:rPr>
          <w:rFonts w:cs="Arial"/>
        </w:rPr>
        <w:t xml:space="preserve"> 12</w:t>
      </w:r>
    </w:p>
    <w:p w:rsidR="008443A5" w:rsidRPr="00FD7D9A" w:rsidRDefault="008443A5" w:rsidP="008443A5">
      <w:pPr>
        <w:autoSpaceDE w:val="0"/>
        <w:autoSpaceDN w:val="0"/>
        <w:adjustRightInd w:val="0"/>
        <w:spacing w:before="220" w:after="220"/>
        <w:rPr>
          <w:rFonts w:cs="Arial"/>
        </w:rPr>
      </w:pPr>
      <w:r w:rsidRPr="00FD7D9A">
        <w:rPr>
          <w:rFonts w:cs="Arial"/>
        </w:rPr>
        <w:t xml:space="preserve">This liquidity ratio indicates the number of months </w:t>
      </w:r>
      <w:r>
        <w:rPr>
          <w:rFonts w:cs="Arial"/>
        </w:rPr>
        <w:t>a c</w:t>
      </w:r>
      <w:r w:rsidRPr="00FD7D9A">
        <w:rPr>
          <w:rFonts w:cs="Arial"/>
        </w:rPr>
        <w:t>ouncil can continue paying for its immediate expenses without additional cash inflow</w:t>
      </w:r>
      <w:r>
        <w:rPr>
          <w:rFonts w:cs="Arial"/>
        </w:rPr>
        <w:t>.</w:t>
      </w:r>
    </w:p>
    <w:p w:rsidR="008443A5" w:rsidRPr="00FD7D9A" w:rsidRDefault="008443A5" w:rsidP="008443A5">
      <w:pPr>
        <w:spacing w:before="220" w:after="220"/>
        <w:rPr>
          <w:rFonts w:cs="Arial"/>
          <w:u w:val="single"/>
        </w:rPr>
      </w:pPr>
      <w:r w:rsidRPr="00FD7D9A">
        <w:rPr>
          <w:rFonts w:cs="Arial"/>
          <w:u w:val="single"/>
        </w:rPr>
        <w:t>Capital Expenditure Ratio</w:t>
      </w:r>
    </w:p>
    <w:p w:rsidR="008443A5" w:rsidRPr="00FD7D9A" w:rsidRDefault="008443A5" w:rsidP="008443A5">
      <w:pPr>
        <w:autoSpaceDE w:val="0"/>
        <w:autoSpaceDN w:val="0"/>
        <w:adjustRightInd w:val="0"/>
        <w:spacing w:before="220" w:after="220"/>
        <w:rPr>
          <w:rFonts w:cs="Arial"/>
        </w:rPr>
      </w:pPr>
      <w:r w:rsidRPr="00FD7D9A">
        <w:rPr>
          <w:rFonts w:cs="Arial"/>
        </w:rPr>
        <w:t>Benchmark = Greater than 1.1</w:t>
      </w:r>
      <w:r>
        <w:rPr>
          <w:rFonts w:cs="Arial"/>
        </w:rPr>
        <w:t>x</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w:t>
      </w:r>
      <w:r>
        <w:rPr>
          <w:rFonts w:cs="Arial"/>
        </w:rPr>
        <w:t>a</w:t>
      </w:r>
      <w:r w:rsidRPr="00FD7D9A">
        <w:rPr>
          <w:rFonts w:cs="Arial"/>
        </w:rPr>
        <w:t>nnual capital expenditure / annual depreciation</w:t>
      </w:r>
    </w:p>
    <w:p w:rsidR="008443A5" w:rsidRPr="00FD7D9A" w:rsidRDefault="008443A5" w:rsidP="008443A5">
      <w:pPr>
        <w:autoSpaceDE w:val="0"/>
        <w:autoSpaceDN w:val="0"/>
        <w:adjustRightInd w:val="0"/>
        <w:spacing w:before="220" w:after="220"/>
        <w:rPr>
          <w:rFonts w:cs="Arial"/>
        </w:rPr>
      </w:pPr>
      <w:r w:rsidRPr="00FD7D9A">
        <w:rPr>
          <w:rFonts w:cs="Arial"/>
        </w:rPr>
        <w:t xml:space="preserve">This indicates the extent to which </w:t>
      </w:r>
      <w:r>
        <w:rPr>
          <w:rFonts w:cs="Arial"/>
        </w:rPr>
        <w:t>a c</w:t>
      </w:r>
      <w:r w:rsidRPr="00FD7D9A">
        <w:rPr>
          <w:rFonts w:cs="Arial"/>
        </w:rPr>
        <w:t>ouncil is forecasting to expand its asset base</w:t>
      </w:r>
      <w:r>
        <w:rPr>
          <w:rFonts w:cs="Arial"/>
        </w:rPr>
        <w:t xml:space="preserve"> with capital expenditure spent on both new assets, and replacement and renewal of existing assets</w:t>
      </w:r>
      <w:r w:rsidRPr="00FD7D9A">
        <w:rPr>
          <w:rFonts w:cs="Arial"/>
        </w:rPr>
        <w:t>.</w:t>
      </w:r>
    </w:p>
    <w:p w:rsidR="008443A5" w:rsidRPr="00FD7D9A" w:rsidRDefault="008443A5" w:rsidP="008443A5">
      <w:pPr>
        <w:spacing w:before="220" w:after="220"/>
        <w:rPr>
          <w:rFonts w:cs="Arial"/>
          <w:u w:val="single"/>
        </w:rPr>
      </w:pPr>
      <w:r w:rsidRPr="00FD7D9A">
        <w:rPr>
          <w:rFonts w:cs="Arial"/>
          <w:u w:val="single"/>
        </w:rPr>
        <w:t>Debt Service Cover Ratio (DSCR)</w:t>
      </w:r>
    </w:p>
    <w:p w:rsidR="008443A5" w:rsidRPr="00FD7D9A" w:rsidRDefault="008443A5" w:rsidP="008443A5">
      <w:pPr>
        <w:autoSpaceDE w:val="0"/>
        <w:autoSpaceDN w:val="0"/>
        <w:adjustRightInd w:val="0"/>
        <w:spacing w:before="220" w:after="220"/>
        <w:rPr>
          <w:rFonts w:cs="Arial"/>
        </w:rPr>
      </w:pPr>
      <w:r w:rsidRPr="00FD7D9A">
        <w:rPr>
          <w:rFonts w:cs="Arial"/>
        </w:rPr>
        <w:t>Benchmark = Greater than 2</w:t>
      </w:r>
      <w:r>
        <w:rPr>
          <w:rFonts w:cs="Arial"/>
        </w:rPr>
        <w:t>.0x</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w:t>
      </w:r>
      <w:r>
        <w:rPr>
          <w:rFonts w:cs="Arial"/>
        </w:rPr>
        <w:t>o</w:t>
      </w:r>
      <w:r w:rsidRPr="00FD7D9A">
        <w:rPr>
          <w:rFonts w:cs="Arial"/>
        </w:rPr>
        <w:t xml:space="preserve">perating results before interest and depreciation (EBITDA) / </w:t>
      </w:r>
      <w:r>
        <w:rPr>
          <w:rFonts w:cs="Arial"/>
        </w:rPr>
        <w:t>p</w:t>
      </w:r>
      <w:r w:rsidRPr="00FD7D9A">
        <w:rPr>
          <w:rFonts w:cs="Arial"/>
        </w:rPr>
        <w:t xml:space="preserve">rincipal </w:t>
      </w:r>
      <w:r>
        <w:rPr>
          <w:rFonts w:cs="Arial"/>
        </w:rPr>
        <w:t>r</w:t>
      </w:r>
      <w:r w:rsidRPr="00FD7D9A">
        <w:rPr>
          <w:rFonts w:cs="Arial"/>
        </w:rPr>
        <w:t>epayments (</w:t>
      </w:r>
      <w:r>
        <w:rPr>
          <w:rFonts w:cs="Arial"/>
        </w:rPr>
        <w:t>from the s</w:t>
      </w:r>
      <w:r w:rsidRPr="00FD7D9A">
        <w:rPr>
          <w:rFonts w:cs="Arial"/>
        </w:rPr>
        <w:t xml:space="preserve">tatement of </w:t>
      </w:r>
      <w:r>
        <w:rPr>
          <w:rFonts w:cs="Arial"/>
        </w:rPr>
        <w:t>c</w:t>
      </w:r>
      <w:r w:rsidRPr="00FD7D9A">
        <w:rPr>
          <w:rFonts w:cs="Arial"/>
        </w:rPr>
        <w:t xml:space="preserve">ash </w:t>
      </w:r>
      <w:r>
        <w:rPr>
          <w:rFonts w:cs="Arial"/>
        </w:rPr>
        <w:t>f</w:t>
      </w:r>
      <w:r w:rsidRPr="00FD7D9A">
        <w:rPr>
          <w:rFonts w:cs="Arial"/>
        </w:rPr>
        <w:t xml:space="preserve">lows) + </w:t>
      </w:r>
      <w:r>
        <w:rPr>
          <w:rFonts w:cs="Arial"/>
        </w:rPr>
        <w:t>b</w:t>
      </w:r>
      <w:r w:rsidRPr="00FD7D9A">
        <w:rPr>
          <w:rFonts w:cs="Arial"/>
        </w:rPr>
        <w:t xml:space="preserve">orrowing </w:t>
      </w:r>
      <w:r>
        <w:rPr>
          <w:rFonts w:cs="Arial"/>
        </w:rPr>
        <w:t>i</w:t>
      </w:r>
      <w:r w:rsidRPr="00FD7D9A">
        <w:rPr>
          <w:rFonts w:cs="Arial"/>
        </w:rPr>
        <w:t xml:space="preserve">nterest </w:t>
      </w:r>
      <w:r>
        <w:rPr>
          <w:rFonts w:cs="Arial"/>
        </w:rPr>
        <w:t>c</w:t>
      </w:r>
      <w:r w:rsidRPr="00FD7D9A">
        <w:rPr>
          <w:rFonts w:cs="Arial"/>
        </w:rPr>
        <w:t>osts (</w:t>
      </w:r>
      <w:r>
        <w:rPr>
          <w:rFonts w:cs="Arial"/>
        </w:rPr>
        <w:t>from the i</w:t>
      </w:r>
      <w:r w:rsidRPr="00FD7D9A">
        <w:rPr>
          <w:rFonts w:cs="Arial"/>
        </w:rPr>
        <w:t xml:space="preserve">ncome </w:t>
      </w:r>
      <w:r>
        <w:rPr>
          <w:rFonts w:cs="Arial"/>
        </w:rPr>
        <w:t>statement</w:t>
      </w:r>
      <w:r w:rsidRPr="00FD7D9A">
        <w:rPr>
          <w:rFonts w:cs="Arial"/>
        </w:rPr>
        <w:t>)</w:t>
      </w:r>
    </w:p>
    <w:p w:rsidR="008443A5" w:rsidRPr="00155E77" w:rsidRDefault="008443A5" w:rsidP="008443A5">
      <w:pPr>
        <w:autoSpaceDE w:val="0"/>
        <w:autoSpaceDN w:val="0"/>
        <w:adjustRightInd w:val="0"/>
        <w:spacing w:before="220" w:after="220"/>
        <w:rPr>
          <w:rFonts w:cs="Arial"/>
        </w:rPr>
      </w:pPr>
      <w:r w:rsidRPr="00155E77">
        <w:rPr>
          <w:rFonts w:cs="Arial"/>
        </w:rPr>
        <w:t>This ratio measures the availability of cash to service debt including interest, principal and lease payments</w:t>
      </w:r>
    </w:p>
    <w:p w:rsidR="008443A5" w:rsidRPr="00FD7D9A" w:rsidRDefault="008443A5" w:rsidP="008443A5">
      <w:pPr>
        <w:spacing w:before="220" w:after="220"/>
        <w:rPr>
          <w:rFonts w:cs="Arial"/>
          <w:u w:val="single"/>
        </w:rPr>
      </w:pPr>
      <w:r w:rsidRPr="00FD7D9A">
        <w:rPr>
          <w:rFonts w:cs="Arial"/>
          <w:u w:val="single"/>
        </w:rPr>
        <w:lastRenderedPageBreak/>
        <w:t>Infrastructure Backlog Ratio</w:t>
      </w:r>
    </w:p>
    <w:p w:rsidR="008443A5" w:rsidRDefault="008443A5" w:rsidP="008443A5">
      <w:pPr>
        <w:autoSpaceDE w:val="0"/>
        <w:autoSpaceDN w:val="0"/>
        <w:adjustRightInd w:val="0"/>
        <w:spacing w:before="220" w:after="220"/>
        <w:rPr>
          <w:rFonts w:cs="Arial"/>
        </w:rPr>
      </w:pPr>
      <w:r>
        <w:rPr>
          <w:rFonts w:cs="Arial"/>
        </w:rPr>
        <w:t>Benchmark = Less than 0.02x</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w:t>
      </w:r>
      <w:r>
        <w:rPr>
          <w:rFonts w:cs="Arial"/>
        </w:rPr>
        <w:t>e</w:t>
      </w:r>
      <w:r w:rsidRPr="00FD7D9A">
        <w:rPr>
          <w:rFonts w:cs="Arial"/>
        </w:rPr>
        <w:t xml:space="preserve">stimated cost to bring </w:t>
      </w:r>
      <w:r>
        <w:rPr>
          <w:rFonts w:cs="Arial"/>
        </w:rPr>
        <w:t>a</w:t>
      </w:r>
      <w:r w:rsidRPr="00FD7D9A">
        <w:rPr>
          <w:rFonts w:cs="Arial"/>
        </w:rPr>
        <w:t>ssets to a satisfactory condition (</w:t>
      </w:r>
      <w:r>
        <w:rPr>
          <w:rFonts w:cs="Arial"/>
        </w:rPr>
        <w:t xml:space="preserve">from </w:t>
      </w:r>
      <w:r w:rsidRPr="00FD7D9A">
        <w:rPr>
          <w:rFonts w:cs="Arial"/>
        </w:rPr>
        <w:t>Special Sch</w:t>
      </w:r>
      <w:r>
        <w:rPr>
          <w:rFonts w:cs="Arial"/>
        </w:rPr>
        <w:t>edule</w:t>
      </w:r>
      <w:r w:rsidRPr="00FD7D9A">
        <w:rPr>
          <w:rFonts w:cs="Arial"/>
        </w:rPr>
        <w:t xml:space="preserve"> 7) / </w:t>
      </w:r>
      <w:r>
        <w:rPr>
          <w:rFonts w:cs="Arial"/>
        </w:rPr>
        <w:t>t</w:t>
      </w:r>
      <w:r w:rsidRPr="00FD7D9A">
        <w:rPr>
          <w:rFonts w:cs="Arial"/>
        </w:rPr>
        <w:t xml:space="preserve">otal </w:t>
      </w:r>
      <w:r>
        <w:rPr>
          <w:rFonts w:cs="Arial"/>
        </w:rPr>
        <w:t>infrastructure, building, other structures and depreciable land improvement a</w:t>
      </w:r>
      <w:r w:rsidRPr="00FD7D9A">
        <w:rPr>
          <w:rFonts w:cs="Arial"/>
        </w:rPr>
        <w:t>ssets (</w:t>
      </w:r>
      <w:r>
        <w:rPr>
          <w:rFonts w:cs="Arial"/>
        </w:rPr>
        <w:t>from note 9a</w:t>
      </w:r>
      <w:r w:rsidRPr="00FD7D9A">
        <w:rPr>
          <w:rFonts w:cs="Arial"/>
        </w:rPr>
        <w:t>)</w:t>
      </w:r>
    </w:p>
    <w:p w:rsidR="008443A5" w:rsidRPr="00FD7D9A" w:rsidRDefault="008443A5" w:rsidP="008443A5">
      <w:pPr>
        <w:autoSpaceDE w:val="0"/>
        <w:autoSpaceDN w:val="0"/>
        <w:adjustRightInd w:val="0"/>
        <w:spacing w:before="220" w:after="220"/>
        <w:rPr>
          <w:rFonts w:cs="Arial"/>
        </w:rPr>
      </w:pPr>
      <w:r w:rsidRPr="00FD7D9A">
        <w:rPr>
          <w:rFonts w:cs="Arial"/>
        </w:rPr>
        <w:t>Th</w:t>
      </w:r>
      <w:r>
        <w:rPr>
          <w:rFonts w:cs="Arial"/>
        </w:rPr>
        <w:t>is</w:t>
      </w:r>
      <w:r w:rsidRPr="00FD7D9A">
        <w:rPr>
          <w:rFonts w:cs="Arial"/>
        </w:rPr>
        <w:t xml:space="preserve"> ratio shows what proportion the backlog is against total value of </w:t>
      </w:r>
      <w:r>
        <w:rPr>
          <w:rFonts w:cs="Arial"/>
        </w:rPr>
        <w:t>a c</w:t>
      </w:r>
      <w:r w:rsidRPr="00FD7D9A">
        <w:rPr>
          <w:rFonts w:cs="Arial"/>
        </w:rPr>
        <w:t xml:space="preserve">ouncil’s infrastructure.  </w:t>
      </w:r>
    </w:p>
    <w:p w:rsidR="008443A5" w:rsidRPr="00FD7D9A" w:rsidRDefault="008443A5" w:rsidP="008443A5">
      <w:pPr>
        <w:spacing w:before="220" w:after="220"/>
        <w:rPr>
          <w:rFonts w:cs="Arial"/>
          <w:u w:val="single"/>
        </w:rPr>
      </w:pPr>
      <w:r w:rsidRPr="00FD7D9A">
        <w:rPr>
          <w:rFonts w:cs="Arial"/>
          <w:u w:val="single"/>
        </w:rPr>
        <w:t xml:space="preserve">Interest Cover Ratio </w:t>
      </w:r>
    </w:p>
    <w:p w:rsidR="008443A5" w:rsidRPr="00FD7D9A" w:rsidRDefault="008443A5" w:rsidP="008443A5">
      <w:pPr>
        <w:autoSpaceDE w:val="0"/>
        <w:autoSpaceDN w:val="0"/>
        <w:adjustRightInd w:val="0"/>
        <w:spacing w:before="220" w:after="220"/>
        <w:rPr>
          <w:rFonts w:cs="Arial"/>
        </w:rPr>
      </w:pPr>
      <w:r w:rsidRPr="00FD7D9A">
        <w:rPr>
          <w:rFonts w:cs="Arial"/>
        </w:rPr>
        <w:t>Benchmark = Greater than 4</w:t>
      </w:r>
      <w:r>
        <w:rPr>
          <w:rFonts w:cs="Arial"/>
        </w:rPr>
        <w:t>.0x</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EBITDA / </w:t>
      </w:r>
      <w:r>
        <w:rPr>
          <w:rFonts w:cs="Arial"/>
        </w:rPr>
        <w:t>i</w:t>
      </w:r>
      <w:r w:rsidRPr="00FD7D9A">
        <w:rPr>
          <w:rFonts w:cs="Arial"/>
        </w:rPr>
        <w:t xml:space="preserve">nterest </w:t>
      </w:r>
      <w:r>
        <w:rPr>
          <w:rFonts w:cs="Arial"/>
        </w:rPr>
        <w:t>e</w:t>
      </w:r>
      <w:r w:rsidRPr="00FD7D9A">
        <w:rPr>
          <w:rFonts w:cs="Arial"/>
        </w:rPr>
        <w:t>xpense (</w:t>
      </w:r>
      <w:r>
        <w:rPr>
          <w:rFonts w:cs="Arial"/>
        </w:rPr>
        <w:t>from the i</w:t>
      </w:r>
      <w:r w:rsidRPr="00FD7D9A">
        <w:rPr>
          <w:rFonts w:cs="Arial"/>
        </w:rPr>
        <w:t xml:space="preserve">ncome </w:t>
      </w:r>
      <w:r>
        <w:rPr>
          <w:rFonts w:cs="Arial"/>
        </w:rPr>
        <w:t>s</w:t>
      </w:r>
      <w:r w:rsidRPr="00FD7D9A">
        <w:rPr>
          <w:rFonts w:cs="Arial"/>
        </w:rPr>
        <w:t>tatement)</w:t>
      </w:r>
    </w:p>
    <w:p w:rsidR="008443A5" w:rsidRPr="00155E77" w:rsidRDefault="008443A5" w:rsidP="008443A5">
      <w:pPr>
        <w:autoSpaceDE w:val="0"/>
        <w:autoSpaceDN w:val="0"/>
        <w:adjustRightInd w:val="0"/>
        <w:spacing w:before="220" w:after="220"/>
        <w:rPr>
          <w:rFonts w:cs="Arial"/>
        </w:rPr>
      </w:pPr>
      <w:r>
        <w:rPr>
          <w:rFonts w:cs="Arial"/>
        </w:rPr>
        <w:t>This ratio i</w:t>
      </w:r>
      <w:r w:rsidRPr="00FD7D9A">
        <w:rPr>
          <w:rFonts w:cs="Arial"/>
        </w:rPr>
        <w:t xml:space="preserve">ndicates the extent to which </w:t>
      </w:r>
      <w:r>
        <w:rPr>
          <w:rFonts w:cs="Arial"/>
        </w:rPr>
        <w:t>a c</w:t>
      </w:r>
      <w:r w:rsidRPr="00FD7D9A">
        <w:rPr>
          <w:rFonts w:cs="Arial"/>
        </w:rPr>
        <w:t xml:space="preserve">ouncil can service its interest bearing debt and take on additional borrowings. It measures the burden of the current interest expense upon </w:t>
      </w:r>
      <w:r>
        <w:rPr>
          <w:rFonts w:cs="Arial"/>
        </w:rPr>
        <w:t>a c</w:t>
      </w:r>
      <w:r w:rsidRPr="00FD7D9A">
        <w:rPr>
          <w:rFonts w:cs="Arial"/>
        </w:rPr>
        <w:t>ouncil’s operating cash</w:t>
      </w:r>
      <w:r w:rsidRPr="0018203F">
        <w:rPr>
          <w:rFonts w:cs="Arial"/>
        </w:rPr>
        <w:t>.</w:t>
      </w:r>
    </w:p>
    <w:p w:rsidR="008443A5" w:rsidRPr="00FD7D9A" w:rsidRDefault="008443A5" w:rsidP="008443A5">
      <w:pPr>
        <w:spacing w:before="220" w:after="220"/>
        <w:rPr>
          <w:rFonts w:cs="Arial"/>
          <w:u w:val="single"/>
        </w:rPr>
      </w:pPr>
      <w:r w:rsidRPr="00FD7D9A">
        <w:rPr>
          <w:rFonts w:cs="Arial"/>
          <w:u w:val="single"/>
        </w:rPr>
        <w:t>Operating Ratio</w:t>
      </w:r>
    </w:p>
    <w:p w:rsidR="008443A5" w:rsidRPr="00FD7D9A" w:rsidRDefault="008443A5" w:rsidP="008443A5">
      <w:pPr>
        <w:autoSpaceDE w:val="0"/>
        <w:autoSpaceDN w:val="0"/>
        <w:adjustRightInd w:val="0"/>
        <w:spacing w:before="220" w:after="220"/>
        <w:rPr>
          <w:rFonts w:cs="Arial"/>
        </w:rPr>
      </w:pPr>
      <w:r w:rsidRPr="00FD7D9A">
        <w:rPr>
          <w:rFonts w:cs="Arial"/>
        </w:rPr>
        <w:t xml:space="preserve">Benchmark = Better than </w:t>
      </w:r>
      <w:r>
        <w:rPr>
          <w:rFonts w:cs="Arial"/>
        </w:rPr>
        <w:t xml:space="preserve">negative </w:t>
      </w:r>
      <w:r w:rsidRPr="00FD7D9A">
        <w:rPr>
          <w:rFonts w:cs="Arial"/>
        </w:rPr>
        <w:t>4%</w:t>
      </w:r>
    </w:p>
    <w:p w:rsidR="008443A5" w:rsidRPr="00FD7D9A" w:rsidRDefault="008443A5" w:rsidP="008443A5">
      <w:pPr>
        <w:autoSpaceDE w:val="0"/>
        <w:autoSpaceDN w:val="0"/>
        <w:adjustRightInd w:val="0"/>
        <w:spacing w:before="220" w:after="220"/>
        <w:rPr>
          <w:rFonts w:cs="Arial"/>
        </w:rPr>
      </w:pPr>
      <w:r w:rsidRPr="00FD7D9A">
        <w:rPr>
          <w:rFonts w:cs="Arial"/>
        </w:rPr>
        <w:t>Ratio = (</w:t>
      </w:r>
      <w:r>
        <w:rPr>
          <w:rFonts w:cs="Arial"/>
        </w:rPr>
        <w:t>o</w:t>
      </w:r>
      <w:r w:rsidRPr="00FD7D9A">
        <w:rPr>
          <w:rFonts w:cs="Arial"/>
        </w:rPr>
        <w:t xml:space="preserve">perating </w:t>
      </w:r>
      <w:r>
        <w:rPr>
          <w:rFonts w:cs="Arial"/>
        </w:rPr>
        <w:t>r</w:t>
      </w:r>
      <w:r w:rsidRPr="00FD7D9A">
        <w:rPr>
          <w:rFonts w:cs="Arial"/>
        </w:rPr>
        <w:t xml:space="preserve">evenue excluding </w:t>
      </w:r>
      <w:r>
        <w:rPr>
          <w:rFonts w:cs="Arial"/>
        </w:rPr>
        <w:t>c</w:t>
      </w:r>
      <w:r w:rsidRPr="00FD7D9A">
        <w:rPr>
          <w:rFonts w:cs="Arial"/>
        </w:rPr>
        <w:t xml:space="preserve">apital </w:t>
      </w:r>
      <w:r>
        <w:rPr>
          <w:rFonts w:cs="Arial"/>
        </w:rPr>
        <w:t>g</w:t>
      </w:r>
      <w:r w:rsidRPr="00FD7D9A">
        <w:rPr>
          <w:rFonts w:cs="Arial"/>
        </w:rPr>
        <w:t xml:space="preserve">rants and </w:t>
      </w:r>
      <w:r>
        <w:rPr>
          <w:rFonts w:cs="Arial"/>
        </w:rPr>
        <w:t>c</w:t>
      </w:r>
      <w:r w:rsidRPr="00FD7D9A">
        <w:rPr>
          <w:rFonts w:cs="Arial"/>
        </w:rPr>
        <w:t xml:space="preserve">ontributions – </w:t>
      </w:r>
      <w:r>
        <w:rPr>
          <w:rFonts w:cs="Arial"/>
        </w:rPr>
        <w:t>o</w:t>
      </w:r>
      <w:r w:rsidRPr="00FD7D9A">
        <w:rPr>
          <w:rFonts w:cs="Arial"/>
        </w:rPr>
        <w:t xml:space="preserve">perating </w:t>
      </w:r>
      <w:r>
        <w:rPr>
          <w:rFonts w:cs="Arial"/>
        </w:rPr>
        <w:t>e</w:t>
      </w:r>
      <w:r w:rsidRPr="00FD7D9A">
        <w:rPr>
          <w:rFonts w:cs="Arial"/>
        </w:rPr>
        <w:t xml:space="preserve">xpenses) / </w:t>
      </w:r>
      <w:r>
        <w:rPr>
          <w:rFonts w:cs="Arial"/>
        </w:rPr>
        <w:t>o</w:t>
      </w:r>
      <w:r w:rsidRPr="00FD7D9A">
        <w:rPr>
          <w:rFonts w:cs="Arial"/>
        </w:rPr>
        <w:t xml:space="preserve">perating </w:t>
      </w:r>
      <w:r>
        <w:rPr>
          <w:rFonts w:cs="Arial"/>
        </w:rPr>
        <w:t>r</w:t>
      </w:r>
      <w:r w:rsidRPr="00FD7D9A">
        <w:rPr>
          <w:rFonts w:cs="Arial"/>
        </w:rPr>
        <w:t xml:space="preserve">evenue excluding </w:t>
      </w:r>
      <w:r>
        <w:rPr>
          <w:rFonts w:cs="Arial"/>
        </w:rPr>
        <w:t>c</w:t>
      </w:r>
      <w:r w:rsidRPr="00FD7D9A">
        <w:rPr>
          <w:rFonts w:cs="Arial"/>
        </w:rPr>
        <w:t xml:space="preserve">apital </w:t>
      </w:r>
      <w:r>
        <w:rPr>
          <w:rFonts w:cs="Arial"/>
        </w:rPr>
        <w:t>g</w:t>
      </w:r>
      <w:r w:rsidRPr="00FD7D9A">
        <w:rPr>
          <w:rFonts w:cs="Arial"/>
        </w:rPr>
        <w:t xml:space="preserve">rants and </w:t>
      </w:r>
      <w:r>
        <w:rPr>
          <w:rFonts w:cs="Arial"/>
        </w:rPr>
        <w:t>c</w:t>
      </w:r>
      <w:r w:rsidRPr="00FD7D9A">
        <w:rPr>
          <w:rFonts w:cs="Arial"/>
        </w:rPr>
        <w:t>ontributions</w:t>
      </w:r>
    </w:p>
    <w:p w:rsidR="008443A5" w:rsidRPr="00FD7D9A" w:rsidRDefault="008443A5" w:rsidP="008443A5">
      <w:pPr>
        <w:autoSpaceDE w:val="0"/>
        <w:autoSpaceDN w:val="0"/>
        <w:adjustRightInd w:val="0"/>
        <w:spacing w:before="220" w:after="220"/>
        <w:rPr>
          <w:rFonts w:cs="Arial"/>
        </w:rPr>
      </w:pPr>
      <w:r>
        <w:rPr>
          <w:rFonts w:cs="Arial"/>
        </w:rPr>
        <w:t>This ratio m</w:t>
      </w:r>
      <w:r w:rsidRPr="00FD7D9A">
        <w:rPr>
          <w:rFonts w:cs="Arial"/>
        </w:rPr>
        <w:t xml:space="preserve">easures a </w:t>
      </w:r>
      <w:r>
        <w:rPr>
          <w:rFonts w:cs="Arial"/>
        </w:rPr>
        <w:t>c</w:t>
      </w:r>
      <w:r w:rsidRPr="00FD7D9A">
        <w:rPr>
          <w:rFonts w:cs="Arial"/>
        </w:rPr>
        <w:t>ouncil’s ability to contain operating expenditure within operating revenue</w:t>
      </w:r>
      <w:r>
        <w:rPr>
          <w:rFonts w:cs="Arial"/>
        </w:rPr>
        <w:t>.</w:t>
      </w:r>
    </w:p>
    <w:p w:rsidR="008443A5" w:rsidRPr="00FD7D9A" w:rsidRDefault="008443A5" w:rsidP="008443A5">
      <w:pPr>
        <w:spacing w:before="220" w:after="220"/>
        <w:rPr>
          <w:rFonts w:cs="Arial"/>
          <w:u w:val="single"/>
        </w:rPr>
      </w:pPr>
      <w:r w:rsidRPr="00FD7D9A">
        <w:rPr>
          <w:rFonts w:cs="Arial"/>
          <w:u w:val="single"/>
        </w:rPr>
        <w:t xml:space="preserve">Own Source Operating Revenue </w:t>
      </w:r>
      <w:r>
        <w:rPr>
          <w:rFonts w:cs="Arial"/>
          <w:u w:val="single"/>
        </w:rPr>
        <w:t>R</w:t>
      </w:r>
      <w:r w:rsidRPr="00FD7D9A">
        <w:rPr>
          <w:rFonts w:cs="Arial"/>
          <w:u w:val="single"/>
        </w:rPr>
        <w:t>atio</w:t>
      </w:r>
    </w:p>
    <w:p w:rsidR="008443A5" w:rsidRPr="00FD7D9A" w:rsidRDefault="008443A5" w:rsidP="008443A5">
      <w:pPr>
        <w:autoSpaceDE w:val="0"/>
        <w:autoSpaceDN w:val="0"/>
        <w:adjustRightInd w:val="0"/>
        <w:spacing w:before="220" w:after="220"/>
        <w:rPr>
          <w:rFonts w:cs="Arial"/>
        </w:rPr>
      </w:pPr>
      <w:r w:rsidRPr="00FD7D9A">
        <w:rPr>
          <w:rFonts w:cs="Arial"/>
        </w:rPr>
        <w:t>Benchmark = Greater than 60%</w:t>
      </w:r>
    </w:p>
    <w:p w:rsidR="008443A5" w:rsidRPr="00FD7D9A" w:rsidRDefault="008443A5" w:rsidP="008443A5">
      <w:pPr>
        <w:autoSpaceDE w:val="0"/>
        <w:autoSpaceDN w:val="0"/>
        <w:adjustRightInd w:val="0"/>
        <w:spacing w:before="220" w:after="220"/>
        <w:rPr>
          <w:rFonts w:cs="Arial"/>
        </w:rPr>
      </w:pPr>
      <w:r w:rsidRPr="00FD7D9A">
        <w:rPr>
          <w:rFonts w:cs="Arial"/>
        </w:rPr>
        <w:t>Ratio = rates, utilities and charges / total operating revenue (inclusive of capital grants and contributions</w:t>
      </w:r>
      <w:r>
        <w:rPr>
          <w:rFonts w:cs="Arial"/>
        </w:rPr>
        <w:t>)</w:t>
      </w:r>
    </w:p>
    <w:p w:rsidR="008443A5" w:rsidRPr="00FD7D9A" w:rsidRDefault="008443A5" w:rsidP="008443A5">
      <w:pPr>
        <w:autoSpaceDE w:val="0"/>
        <w:autoSpaceDN w:val="0"/>
        <w:adjustRightInd w:val="0"/>
        <w:spacing w:before="220" w:after="220"/>
        <w:rPr>
          <w:rFonts w:cs="Arial"/>
        </w:rPr>
      </w:pPr>
      <w:r w:rsidRPr="00FD7D9A">
        <w:rPr>
          <w:rFonts w:cs="Arial"/>
        </w:rPr>
        <w:t xml:space="preserve">This </w:t>
      </w:r>
      <w:r>
        <w:rPr>
          <w:rFonts w:cs="Arial"/>
        </w:rPr>
        <w:t xml:space="preserve">ratio </w:t>
      </w:r>
      <w:r w:rsidRPr="00FD7D9A">
        <w:rPr>
          <w:rFonts w:cs="Arial"/>
        </w:rPr>
        <w:t xml:space="preserve">measures the level of </w:t>
      </w:r>
      <w:r>
        <w:rPr>
          <w:rFonts w:cs="Arial"/>
        </w:rPr>
        <w:t>a c</w:t>
      </w:r>
      <w:r w:rsidRPr="00FD7D9A">
        <w:rPr>
          <w:rFonts w:cs="Arial"/>
        </w:rPr>
        <w:t xml:space="preserve">ouncil’s fiscal flexibility. It is the degree of reliance on external funding sources such as operating grants and contributions. </w:t>
      </w:r>
      <w:r>
        <w:rPr>
          <w:rFonts w:cs="Arial"/>
        </w:rPr>
        <w:t>A c</w:t>
      </w:r>
      <w:r w:rsidRPr="00FD7D9A">
        <w:rPr>
          <w:rFonts w:cs="Arial"/>
        </w:rPr>
        <w:t>ouncil</w:t>
      </w:r>
      <w:r>
        <w:rPr>
          <w:rFonts w:cs="Arial"/>
        </w:rPr>
        <w:t>’</w:t>
      </w:r>
      <w:r w:rsidRPr="00FD7D9A">
        <w:rPr>
          <w:rFonts w:cs="Arial"/>
        </w:rPr>
        <w:t>s financial flexibility improves the higher the level of its own source revenue.</w:t>
      </w:r>
    </w:p>
    <w:p w:rsidR="008443A5" w:rsidRPr="00FD7D9A" w:rsidRDefault="008443A5" w:rsidP="008443A5">
      <w:pPr>
        <w:spacing w:before="220" w:after="220"/>
        <w:rPr>
          <w:rFonts w:cs="Arial"/>
        </w:rPr>
      </w:pPr>
      <w:r w:rsidRPr="00FD7D9A">
        <w:rPr>
          <w:rFonts w:cs="Arial"/>
          <w:u w:val="single"/>
        </w:rPr>
        <w:t>Unrestricted Current Ratio</w:t>
      </w:r>
    </w:p>
    <w:p w:rsidR="008443A5" w:rsidRPr="00155E77" w:rsidRDefault="008443A5" w:rsidP="008443A5">
      <w:pPr>
        <w:autoSpaceDE w:val="0"/>
        <w:autoSpaceDN w:val="0"/>
        <w:adjustRightInd w:val="0"/>
        <w:spacing w:before="220" w:after="220"/>
        <w:rPr>
          <w:rFonts w:cs="Arial"/>
        </w:rPr>
      </w:pPr>
      <w:r w:rsidRPr="00155E77">
        <w:rPr>
          <w:rFonts w:cs="Arial"/>
        </w:rPr>
        <w:t>Benchmark = 1.5x (taken from the IPART December 2009 Revenue Framework for Local Government report)</w:t>
      </w:r>
    </w:p>
    <w:p w:rsidR="008443A5" w:rsidRPr="00FD7D9A" w:rsidRDefault="008443A5" w:rsidP="008443A5">
      <w:pPr>
        <w:autoSpaceDE w:val="0"/>
        <w:autoSpaceDN w:val="0"/>
        <w:adjustRightInd w:val="0"/>
        <w:spacing w:before="220" w:after="220"/>
        <w:rPr>
          <w:rFonts w:cs="Arial"/>
        </w:rPr>
      </w:pPr>
      <w:r w:rsidRPr="00FD7D9A">
        <w:rPr>
          <w:rFonts w:cs="Arial"/>
        </w:rPr>
        <w:t xml:space="preserve">Ratio = Current </w:t>
      </w:r>
      <w:r>
        <w:rPr>
          <w:rFonts w:cs="Arial"/>
        </w:rPr>
        <w:t>a</w:t>
      </w:r>
      <w:r w:rsidRPr="00FD7D9A">
        <w:rPr>
          <w:rFonts w:cs="Arial"/>
        </w:rPr>
        <w:t xml:space="preserve">ssets less all </w:t>
      </w:r>
      <w:r>
        <w:rPr>
          <w:rFonts w:cs="Arial"/>
        </w:rPr>
        <w:t>e</w:t>
      </w:r>
      <w:r w:rsidRPr="00FD7D9A">
        <w:rPr>
          <w:rFonts w:cs="Arial"/>
        </w:rPr>
        <w:t xml:space="preserve">xternal </w:t>
      </w:r>
      <w:r>
        <w:rPr>
          <w:rFonts w:cs="Arial"/>
        </w:rPr>
        <w:t>r</w:t>
      </w:r>
      <w:r w:rsidRPr="00FD7D9A">
        <w:rPr>
          <w:rFonts w:cs="Arial"/>
        </w:rPr>
        <w:t xml:space="preserve">estrictions / </w:t>
      </w:r>
      <w:r>
        <w:rPr>
          <w:rFonts w:cs="Arial"/>
        </w:rPr>
        <w:t>c</w:t>
      </w:r>
      <w:r w:rsidRPr="00FD7D9A">
        <w:rPr>
          <w:rFonts w:cs="Arial"/>
        </w:rPr>
        <w:t xml:space="preserve">urrent </w:t>
      </w:r>
      <w:r>
        <w:rPr>
          <w:rFonts w:cs="Arial"/>
        </w:rPr>
        <w:t>l</w:t>
      </w:r>
      <w:r w:rsidRPr="00FD7D9A">
        <w:rPr>
          <w:rFonts w:cs="Arial"/>
        </w:rPr>
        <w:t xml:space="preserve">iabilities less </w:t>
      </w:r>
      <w:r>
        <w:rPr>
          <w:rFonts w:cs="Arial"/>
        </w:rPr>
        <w:t>s</w:t>
      </w:r>
      <w:r w:rsidRPr="00FD7D9A">
        <w:rPr>
          <w:rFonts w:cs="Arial"/>
        </w:rPr>
        <w:t xml:space="preserve">pecific </w:t>
      </w:r>
      <w:r>
        <w:rPr>
          <w:rFonts w:cs="Arial"/>
        </w:rPr>
        <w:t>p</w:t>
      </w:r>
      <w:r w:rsidRPr="00FD7D9A">
        <w:rPr>
          <w:rFonts w:cs="Arial"/>
        </w:rPr>
        <w:t xml:space="preserve">urpose </w:t>
      </w:r>
      <w:r>
        <w:rPr>
          <w:rFonts w:cs="Arial"/>
        </w:rPr>
        <w:t>l</w:t>
      </w:r>
      <w:r w:rsidRPr="00FD7D9A">
        <w:rPr>
          <w:rFonts w:cs="Arial"/>
        </w:rPr>
        <w:t>iabilities</w:t>
      </w:r>
    </w:p>
    <w:p w:rsidR="008443A5" w:rsidRPr="00FD7D9A" w:rsidRDefault="008443A5" w:rsidP="008443A5">
      <w:pPr>
        <w:autoSpaceDE w:val="0"/>
        <w:autoSpaceDN w:val="0"/>
        <w:adjustRightInd w:val="0"/>
        <w:spacing w:before="220" w:after="220"/>
        <w:rPr>
          <w:rFonts w:cs="Arial"/>
        </w:rPr>
      </w:pPr>
      <w:r w:rsidRPr="00FD7D9A">
        <w:rPr>
          <w:rFonts w:cs="Arial"/>
        </w:rPr>
        <w:t>Restrictions placed on various funding sources (e.g.</w:t>
      </w:r>
      <w:r>
        <w:rPr>
          <w:rFonts w:cs="Arial"/>
        </w:rPr>
        <w:t xml:space="preserve"> Section 94 d</w:t>
      </w:r>
      <w:r w:rsidRPr="00FD7D9A">
        <w:rPr>
          <w:rFonts w:cs="Arial"/>
        </w:rPr>
        <w:t>eveloper contributions, RMS contributions) complicate the traditional current ratio</w:t>
      </w:r>
      <w:r>
        <w:rPr>
          <w:rFonts w:cs="Arial"/>
        </w:rPr>
        <w:t xml:space="preserve"> because cash allocated to specific projects are restricted and cannot be used to meet a council’s other operating and borrowing costs</w:t>
      </w:r>
      <w:r w:rsidRPr="00FD7D9A">
        <w:rPr>
          <w:rFonts w:cs="Arial"/>
        </w:rPr>
        <w:t xml:space="preserve">.   The Unrestricted Current </w:t>
      </w:r>
      <w:r>
        <w:rPr>
          <w:rFonts w:cs="Arial"/>
        </w:rPr>
        <w:t>R</w:t>
      </w:r>
      <w:r w:rsidRPr="00FD7D9A">
        <w:rPr>
          <w:rFonts w:cs="Arial"/>
        </w:rPr>
        <w:t xml:space="preserve">atio is specific to local government and is designed to represent </w:t>
      </w:r>
      <w:r>
        <w:rPr>
          <w:rFonts w:cs="Arial"/>
        </w:rPr>
        <w:t xml:space="preserve">a </w:t>
      </w:r>
      <w:r w:rsidRPr="00FD7D9A">
        <w:rPr>
          <w:rFonts w:cs="Arial"/>
        </w:rPr>
        <w:t>council’s ability to meet debt</w:t>
      </w:r>
      <w:r>
        <w:rPr>
          <w:rFonts w:cs="Arial"/>
        </w:rPr>
        <w:t xml:space="preserve"> payments</w:t>
      </w:r>
      <w:r w:rsidRPr="00FD7D9A">
        <w:rPr>
          <w:rFonts w:cs="Arial"/>
        </w:rPr>
        <w:t xml:space="preserve"> as they fall due.</w:t>
      </w:r>
    </w:p>
    <w:sectPr w:rsidR="008443A5" w:rsidRPr="00FD7D9A" w:rsidSect="005A307A">
      <w:headerReference w:type="first" r:id="rId44"/>
      <w:footerReference w:type="first" r:id="rId45"/>
      <w:pgSz w:w="11906" w:h="16838"/>
      <w:pgMar w:top="2552" w:right="1440" w:bottom="1135" w:left="2268"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D1" w:rsidRDefault="001F7CD1" w:rsidP="00023937">
      <w:pPr>
        <w:spacing w:before="0" w:after="0" w:line="240" w:lineRule="auto"/>
      </w:pPr>
      <w:r>
        <w:separator/>
      </w:r>
    </w:p>
    <w:p w:rsidR="001F7CD1" w:rsidRDefault="001F7CD1"/>
  </w:endnote>
  <w:endnote w:type="continuationSeparator" w:id="0">
    <w:p w:rsidR="001F7CD1" w:rsidRDefault="001F7CD1" w:rsidP="00023937">
      <w:pPr>
        <w:spacing w:before="0" w:after="0" w:line="240" w:lineRule="auto"/>
      </w:pPr>
      <w:r>
        <w:continuationSeparator/>
      </w:r>
    </w:p>
    <w:p w:rsidR="001F7CD1" w:rsidRDefault="001F7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D1" w:rsidRDefault="001F7CD1" w:rsidP="00EB2E99">
    <w:pPr>
      <w:pStyle w:val="Footer"/>
      <w:tabs>
        <w:tab w:val="clear" w:pos="4513"/>
        <w:tab w:val="clear" w:pos="9026"/>
        <w:tab w:val="center" w:pos="4099"/>
      </w:tabs>
      <w:jc w:val="center"/>
    </w:pPr>
    <w:r>
      <w:t>Shoalhaven City Council</w:t>
    </w:r>
    <w:r>
      <w:tab/>
      <w:t>COMMERCIAL-IN-CONFIDENCE</w:t>
    </w:r>
    <w:r>
      <w:tab/>
      <w:t xml:space="preserve">                      Page </w:t>
    </w:r>
    <w:r w:rsidR="00401AD3">
      <w:fldChar w:fldCharType="begin"/>
    </w:r>
    <w:r w:rsidR="00401AD3">
      <w:instrText xml:space="preserve"> PAGE   \* MERGEFORMAT </w:instrText>
    </w:r>
    <w:r w:rsidR="00401AD3">
      <w:fldChar w:fldCharType="separate"/>
    </w:r>
    <w:r w:rsidR="00401AD3">
      <w:rPr>
        <w:noProof/>
      </w:rPr>
      <w:t>41</w:t>
    </w:r>
    <w:r w:rsidR="00401AD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D1" w:rsidRDefault="001F7CD1" w:rsidP="00F5008C">
    <w:pPr>
      <w:pStyle w:val="Footer"/>
      <w:tabs>
        <w:tab w:val="clear" w:pos="4513"/>
        <w:tab w:val="clear" w:pos="9026"/>
        <w:tab w:val="right" w:pos="8198"/>
      </w:tabs>
      <w:jc w:val="center"/>
    </w:pPr>
    <w:r>
      <w:t>COMMERCIAL-IN-CONFIDENCE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D1" w:rsidRDefault="001F7CD1" w:rsidP="00DC5B4A">
    <w:pPr>
      <w:pStyle w:val="Footer"/>
      <w:tabs>
        <w:tab w:val="clear" w:pos="4513"/>
        <w:tab w:val="clear" w:pos="9026"/>
        <w:tab w:val="right" w:pos="8198"/>
      </w:tabs>
      <w:jc w:val="center"/>
    </w:pPr>
    <w:r>
      <w:t>COMMERCIAL-IN-CONFIDENCE</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D1" w:rsidRDefault="001F7CD1" w:rsidP="00023937">
      <w:pPr>
        <w:spacing w:before="0" w:after="0" w:line="240" w:lineRule="auto"/>
      </w:pPr>
      <w:r>
        <w:separator/>
      </w:r>
    </w:p>
    <w:p w:rsidR="001F7CD1" w:rsidRDefault="001F7CD1"/>
  </w:footnote>
  <w:footnote w:type="continuationSeparator" w:id="0">
    <w:p w:rsidR="001F7CD1" w:rsidRDefault="001F7CD1" w:rsidP="00023937">
      <w:pPr>
        <w:spacing w:before="0" w:after="0" w:line="240" w:lineRule="auto"/>
      </w:pPr>
      <w:r>
        <w:continuationSeparator/>
      </w:r>
    </w:p>
    <w:p w:rsidR="001F7CD1" w:rsidRDefault="001F7CD1"/>
  </w:footnote>
  <w:footnote w:id="1">
    <w:p w:rsidR="001F7CD1" w:rsidRPr="00147BCE" w:rsidRDefault="001F7CD1" w:rsidP="008443A5">
      <w:pPr>
        <w:pStyle w:val="FootnoteText"/>
        <w:rPr>
          <w:rFonts w:ascii="Arial Narrow" w:hAnsi="Arial Narrow" w:cs="Arial"/>
        </w:rPr>
      </w:pPr>
    </w:p>
  </w:footnote>
  <w:footnote w:id="2">
    <w:p w:rsidR="001F7CD1" w:rsidRPr="00B95AB0" w:rsidRDefault="001F7CD1" w:rsidP="008443A5">
      <w:pPr>
        <w:pStyle w:val="FootnoteText"/>
        <w:rPr>
          <w:rFonts w:ascii="Arial Narrow" w:hAnsi="Arial Narrow" w:cs="Arial"/>
          <w:sz w:val="16"/>
          <w:szCs w:val="16"/>
        </w:rPr>
      </w:pPr>
      <w:r w:rsidRPr="00B95AB0">
        <w:rPr>
          <w:rStyle w:val="FootnoteReference"/>
          <w:rFonts w:cs="Arial"/>
          <w:sz w:val="16"/>
          <w:szCs w:val="16"/>
        </w:rPr>
        <w:t>1</w:t>
      </w:r>
      <w:r w:rsidRPr="00B95AB0">
        <w:rPr>
          <w:rFonts w:ascii="Arial Narrow" w:hAnsi="Arial Narrow" w:cs="Arial"/>
          <w:sz w:val="16"/>
          <w:szCs w:val="16"/>
        </w:rPr>
        <w:t>IPART “Revenue Framework for Local Government” December 2009 p.83</w:t>
      </w:r>
    </w:p>
    <w:p w:rsidR="001F7CD1" w:rsidRDefault="001F7CD1" w:rsidP="008443A5">
      <w:r w:rsidRPr="00B95AB0">
        <w:rPr>
          <w:rStyle w:val="FootnoteReference"/>
          <w:rFonts w:cs="Arial"/>
          <w:color w:val="000000"/>
          <w:sz w:val="16"/>
          <w:szCs w:val="16"/>
        </w:rPr>
        <w:footnoteRef/>
      </w:r>
      <w:r w:rsidRPr="00B95AB0">
        <w:rPr>
          <w:rFonts w:cs="Arial"/>
          <w:color w:val="000000"/>
          <w:sz w:val="16"/>
          <w:szCs w:val="16"/>
        </w:rPr>
        <w:t xml:space="preserve"> DLG “</w:t>
      </w:r>
      <w:r w:rsidRPr="00B95AB0">
        <w:rPr>
          <w:rFonts w:cs="Arial"/>
          <w:sz w:val="16"/>
          <w:szCs w:val="16"/>
        </w:rPr>
        <w:t>Recognition of certain assets at fair value”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D1" w:rsidRDefault="001F7CD1">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417830</wp:posOffset>
          </wp:positionV>
          <wp:extent cx="1797050" cy="1690370"/>
          <wp:effectExtent l="19050" t="0" r="0" b="0"/>
          <wp:wrapNone/>
          <wp:docPr id="18" name="Picture 3" descr="NewTCorpLHf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CorpLHfol_logo"/>
                  <pic:cNvPicPr>
                    <a:picLocks noChangeAspect="1" noChangeArrowheads="1"/>
                  </pic:cNvPicPr>
                </pic:nvPicPr>
                <pic:blipFill>
                  <a:blip r:embed="rId1"/>
                  <a:srcRect/>
                  <a:stretch>
                    <a:fillRect/>
                  </a:stretch>
                </pic:blipFill>
                <pic:spPr bwMode="auto">
                  <a:xfrm>
                    <a:off x="0" y="0"/>
                    <a:ext cx="1797050" cy="16903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D1" w:rsidRDefault="001F7CD1">
    <w:pPr>
      <w:pStyle w:val="Header"/>
    </w:pPr>
    <w:r>
      <w:rPr>
        <w:noProof/>
      </w:rPr>
      <w:drawing>
        <wp:anchor distT="0" distB="0" distL="114300" distR="114300" simplePos="0" relativeHeight="251659264" behindDoc="1" locked="0" layoutInCell="1" allowOverlap="1">
          <wp:simplePos x="0" y="0"/>
          <wp:positionH relativeFrom="page">
            <wp:posOffset>154305</wp:posOffset>
          </wp:positionH>
          <wp:positionV relativeFrom="page">
            <wp:posOffset>566420</wp:posOffset>
          </wp:positionV>
          <wp:extent cx="1800860" cy="1691005"/>
          <wp:effectExtent l="19050" t="0" r="8890" b="0"/>
          <wp:wrapNone/>
          <wp:docPr id="17" name="Picture 3" descr="NewTCorpLHf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CorpLHfol_logo"/>
                  <pic:cNvPicPr>
                    <a:picLocks noChangeAspect="1" noChangeArrowheads="1"/>
                  </pic:cNvPicPr>
                </pic:nvPicPr>
                <pic:blipFill>
                  <a:blip r:embed="rId1"/>
                  <a:srcRect/>
                  <a:stretch>
                    <a:fillRect/>
                  </a:stretch>
                </pic:blipFill>
                <pic:spPr bwMode="auto">
                  <a:xfrm>
                    <a:off x="0" y="0"/>
                    <a:ext cx="1800860" cy="16910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D1" w:rsidRDefault="001F7CD1">
    <w:pPr>
      <w:pStyle w:val="Header"/>
    </w:pPr>
    <w:r>
      <w:rPr>
        <w:noProof/>
      </w:rPr>
      <w:drawing>
        <wp:anchor distT="0" distB="0" distL="114300" distR="114300" simplePos="0" relativeHeight="251656192" behindDoc="1" locked="0" layoutInCell="1" allowOverlap="1">
          <wp:simplePos x="0" y="0"/>
          <wp:positionH relativeFrom="page">
            <wp:posOffset>154305</wp:posOffset>
          </wp:positionH>
          <wp:positionV relativeFrom="page">
            <wp:posOffset>566420</wp:posOffset>
          </wp:positionV>
          <wp:extent cx="1800860" cy="1691005"/>
          <wp:effectExtent l="19050" t="0" r="8890" b="0"/>
          <wp:wrapNone/>
          <wp:docPr id="15" name="Picture 3" descr="NewTCorpLHf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CorpLHfol_logo"/>
                  <pic:cNvPicPr>
                    <a:picLocks noChangeAspect="1" noChangeArrowheads="1"/>
                  </pic:cNvPicPr>
                </pic:nvPicPr>
                <pic:blipFill>
                  <a:blip r:embed="rId1"/>
                  <a:srcRect/>
                  <a:stretch>
                    <a:fillRect/>
                  </a:stretch>
                </pic:blipFill>
                <pic:spPr bwMode="auto">
                  <a:xfrm>
                    <a:off x="0" y="0"/>
                    <a:ext cx="1800860" cy="16910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6A0C"/>
    <w:multiLevelType w:val="hybridMultilevel"/>
    <w:tmpl w:val="B3DE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C394257"/>
    <w:multiLevelType w:val="hybridMultilevel"/>
    <w:tmpl w:val="852C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4E715B"/>
    <w:multiLevelType w:val="hybridMultilevel"/>
    <w:tmpl w:val="349E0D02"/>
    <w:lvl w:ilvl="0" w:tplc="6FB4D9FC">
      <w:start w:val="1"/>
      <w:numFmt w:val="bullet"/>
      <w:pStyle w:val="Subtit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617544"/>
    <w:multiLevelType w:val="hybridMultilevel"/>
    <w:tmpl w:val="E6864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9"/>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5C"/>
    <w:rsid w:val="00002252"/>
    <w:rsid w:val="000042C6"/>
    <w:rsid w:val="000050BB"/>
    <w:rsid w:val="000100DA"/>
    <w:rsid w:val="00010CA2"/>
    <w:rsid w:val="00010F86"/>
    <w:rsid w:val="00012A28"/>
    <w:rsid w:val="00014E92"/>
    <w:rsid w:val="00014FEC"/>
    <w:rsid w:val="00020115"/>
    <w:rsid w:val="0002134F"/>
    <w:rsid w:val="00021962"/>
    <w:rsid w:val="00021F9A"/>
    <w:rsid w:val="00022A72"/>
    <w:rsid w:val="00023937"/>
    <w:rsid w:val="0002645B"/>
    <w:rsid w:val="000306B7"/>
    <w:rsid w:val="0003211F"/>
    <w:rsid w:val="000331EB"/>
    <w:rsid w:val="00040C36"/>
    <w:rsid w:val="00041024"/>
    <w:rsid w:val="00041E43"/>
    <w:rsid w:val="00042EA4"/>
    <w:rsid w:val="00043F60"/>
    <w:rsid w:val="00043F63"/>
    <w:rsid w:val="000507DE"/>
    <w:rsid w:val="00050917"/>
    <w:rsid w:val="00052A63"/>
    <w:rsid w:val="00054B40"/>
    <w:rsid w:val="00054E98"/>
    <w:rsid w:val="00055DD9"/>
    <w:rsid w:val="00060F9F"/>
    <w:rsid w:val="0006175E"/>
    <w:rsid w:val="00063D51"/>
    <w:rsid w:val="000721C4"/>
    <w:rsid w:val="000721C7"/>
    <w:rsid w:val="00072B7D"/>
    <w:rsid w:val="000812F5"/>
    <w:rsid w:val="00081D5E"/>
    <w:rsid w:val="00081F4D"/>
    <w:rsid w:val="00087794"/>
    <w:rsid w:val="00087E51"/>
    <w:rsid w:val="00090AE4"/>
    <w:rsid w:val="00093CBC"/>
    <w:rsid w:val="0009424F"/>
    <w:rsid w:val="000961AF"/>
    <w:rsid w:val="00096233"/>
    <w:rsid w:val="00097274"/>
    <w:rsid w:val="000A2081"/>
    <w:rsid w:val="000A6D9F"/>
    <w:rsid w:val="000A7B79"/>
    <w:rsid w:val="000B264A"/>
    <w:rsid w:val="000B4AA2"/>
    <w:rsid w:val="000B617D"/>
    <w:rsid w:val="000D3611"/>
    <w:rsid w:val="000D41B6"/>
    <w:rsid w:val="000D4DC4"/>
    <w:rsid w:val="000D5EA0"/>
    <w:rsid w:val="000E0519"/>
    <w:rsid w:val="000E0CC6"/>
    <w:rsid w:val="000E29C1"/>
    <w:rsid w:val="000F3A51"/>
    <w:rsid w:val="000F60AA"/>
    <w:rsid w:val="00101C11"/>
    <w:rsid w:val="00102A2C"/>
    <w:rsid w:val="001031D0"/>
    <w:rsid w:val="00110CB4"/>
    <w:rsid w:val="00111846"/>
    <w:rsid w:val="0011425F"/>
    <w:rsid w:val="00115EAD"/>
    <w:rsid w:val="001168EC"/>
    <w:rsid w:val="00117359"/>
    <w:rsid w:val="00117383"/>
    <w:rsid w:val="001208C3"/>
    <w:rsid w:val="00121845"/>
    <w:rsid w:val="001219D8"/>
    <w:rsid w:val="0012356B"/>
    <w:rsid w:val="001249EA"/>
    <w:rsid w:val="001279E7"/>
    <w:rsid w:val="001338E5"/>
    <w:rsid w:val="00136900"/>
    <w:rsid w:val="001443F5"/>
    <w:rsid w:val="00145097"/>
    <w:rsid w:val="0014609C"/>
    <w:rsid w:val="00150FA5"/>
    <w:rsid w:val="001521BF"/>
    <w:rsid w:val="0015426B"/>
    <w:rsid w:val="001545D5"/>
    <w:rsid w:val="00154AFD"/>
    <w:rsid w:val="00156809"/>
    <w:rsid w:val="0016059D"/>
    <w:rsid w:val="00165ADF"/>
    <w:rsid w:val="00170DA2"/>
    <w:rsid w:val="00171D54"/>
    <w:rsid w:val="001724DE"/>
    <w:rsid w:val="0017303D"/>
    <w:rsid w:val="00173562"/>
    <w:rsid w:val="00177CF8"/>
    <w:rsid w:val="0018106F"/>
    <w:rsid w:val="00182227"/>
    <w:rsid w:val="00182503"/>
    <w:rsid w:val="0018477B"/>
    <w:rsid w:val="0018688C"/>
    <w:rsid w:val="00187A42"/>
    <w:rsid w:val="00187FD4"/>
    <w:rsid w:val="00190305"/>
    <w:rsid w:val="00191773"/>
    <w:rsid w:val="001938C2"/>
    <w:rsid w:val="0019676C"/>
    <w:rsid w:val="001A0CBC"/>
    <w:rsid w:val="001A0F4D"/>
    <w:rsid w:val="001A2B7D"/>
    <w:rsid w:val="001A36DC"/>
    <w:rsid w:val="001B187F"/>
    <w:rsid w:val="001B19A1"/>
    <w:rsid w:val="001C1056"/>
    <w:rsid w:val="001C3ACC"/>
    <w:rsid w:val="001D302F"/>
    <w:rsid w:val="001D3ABE"/>
    <w:rsid w:val="001D5DD9"/>
    <w:rsid w:val="001D77C8"/>
    <w:rsid w:val="001D7C84"/>
    <w:rsid w:val="001E208D"/>
    <w:rsid w:val="001F1B5F"/>
    <w:rsid w:val="001F50AA"/>
    <w:rsid w:val="001F6814"/>
    <w:rsid w:val="001F7CD1"/>
    <w:rsid w:val="0020038B"/>
    <w:rsid w:val="00202BDB"/>
    <w:rsid w:val="00203755"/>
    <w:rsid w:val="00210228"/>
    <w:rsid w:val="0021024C"/>
    <w:rsid w:val="00212B00"/>
    <w:rsid w:val="00213402"/>
    <w:rsid w:val="0021353E"/>
    <w:rsid w:val="00213778"/>
    <w:rsid w:val="00217584"/>
    <w:rsid w:val="00220704"/>
    <w:rsid w:val="0022090B"/>
    <w:rsid w:val="00220CBC"/>
    <w:rsid w:val="00222239"/>
    <w:rsid w:val="00224671"/>
    <w:rsid w:val="00224928"/>
    <w:rsid w:val="002277A0"/>
    <w:rsid w:val="0023059F"/>
    <w:rsid w:val="00231B56"/>
    <w:rsid w:val="00231E99"/>
    <w:rsid w:val="00235568"/>
    <w:rsid w:val="0024250C"/>
    <w:rsid w:val="00242FB4"/>
    <w:rsid w:val="002455E1"/>
    <w:rsid w:val="00246D81"/>
    <w:rsid w:val="00246F46"/>
    <w:rsid w:val="002476DD"/>
    <w:rsid w:val="00247B1D"/>
    <w:rsid w:val="002536C8"/>
    <w:rsid w:val="00253983"/>
    <w:rsid w:val="00255D02"/>
    <w:rsid w:val="00261FB5"/>
    <w:rsid w:val="002646DF"/>
    <w:rsid w:val="00266FA0"/>
    <w:rsid w:val="002800CE"/>
    <w:rsid w:val="00282DDE"/>
    <w:rsid w:val="0028502C"/>
    <w:rsid w:val="00285A74"/>
    <w:rsid w:val="002862A9"/>
    <w:rsid w:val="0029188F"/>
    <w:rsid w:val="00293559"/>
    <w:rsid w:val="002954FE"/>
    <w:rsid w:val="002A0D50"/>
    <w:rsid w:val="002A29D9"/>
    <w:rsid w:val="002A3E6C"/>
    <w:rsid w:val="002A506F"/>
    <w:rsid w:val="002B06A5"/>
    <w:rsid w:val="002B7026"/>
    <w:rsid w:val="002C0136"/>
    <w:rsid w:val="002C0441"/>
    <w:rsid w:val="002C09C0"/>
    <w:rsid w:val="002C30CB"/>
    <w:rsid w:val="002C37F9"/>
    <w:rsid w:val="002D0C70"/>
    <w:rsid w:val="002D2480"/>
    <w:rsid w:val="002D2CE9"/>
    <w:rsid w:val="002E0C09"/>
    <w:rsid w:val="002E0DAA"/>
    <w:rsid w:val="002E1CAF"/>
    <w:rsid w:val="002E35BD"/>
    <w:rsid w:val="002E39CD"/>
    <w:rsid w:val="002E4696"/>
    <w:rsid w:val="002E7456"/>
    <w:rsid w:val="002F1308"/>
    <w:rsid w:val="002F15A7"/>
    <w:rsid w:val="002F25B6"/>
    <w:rsid w:val="002F65DD"/>
    <w:rsid w:val="002F66DB"/>
    <w:rsid w:val="00301372"/>
    <w:rsid w:val="00302E1F"/>
    <w:rsid w:val="0030479A"/>
    <w:rsid w:val="003055DA"/>
    <w:rsid w:val="00306341"/>
    <w:rsid w:val="00306551"/>
    <w:rsid w:val="00307CC2"/>
    <w:rsid w:val="003103EF"/>
    <w:rsid w:val="00311DB8"/>
    <w:rsid w:val="00312D1B"/>
    <w:rsid w:val="00313F30"/>
    <w:rsid w:val="003157B5"/>
    <w:rsid w:val="00316FB2"/>
    <w:rsid w:val="00317DE2"/>
    <w:rsid w:val="00321772"/>
    <w:rsid w:val="00326F37"/>
    <w:rsid w:val="00327809"/>
    <w:rsid w:val="00327F2C"/>
    <w:rsid w:val="00330530"/>
    <w:rsid w:val="00334B1B"/>
    <w:rsid w:val="00336CBA"/>
    <w:rsid w:val="003379F9"/>
    <w:rsid w:val="00341D44"/>
    <w:rsid w:val="003451C8"/>
    <w:rsid w:val="0034546F"/>
    <w:rsid w:val="00345F9D"/>
    <w:rsid w:val="003473CA"/>
    <w:rsid w:val="0035469E"/>
    <w:rsid w:val="00357879"/>
    <w:rsid w:val="003627F4"/>
    <w:rsid w:val="00364AF6"/>
    <w:rsid w:val="00367BDB"/>
    <w:rsid w:val="0037464F"/>
    <w:rsid w:val="00374A23"/>
    <w:rsid w:val="003772F2"/>
    <w:rsid w:val="00380018"/>
    <w:rsid w:val="00381579"/>
    <w:rsid w:val="003856D4"/>
    <w:rsid w:val="00386A93"/>
    <w:rsid w:val="003871B8"/>
    <w:rsid w:val="00387952"/>
    <w:rsid w:val="0039089C"/>
    <w:rsid w:val="00390C10"/>
    <w:rsid w:val="00391D72"/>
    <w:rsid w:val="00396316"/>
    <w:rsid w:val="003A21EA"/>
    <w:rsid w:val="003A353B"/>
    <w:rsid w:val="003B0A4B"/>
    <w:rsid w:val="003B0C06"/>
    <w:rsid w:val="003B235A"/>
    <w:rsid w:val="003B6962"/>
    <w:rsid w:val="003C083B"/>
    <w:rsid w:val="003C2E04"/>
    <w:rsid w:val="003C328D"/>
    <w:rsid w:val="003C4335"/>
    <w:rsid w:val="003C4514"/>
    <w:rsid w:val="003C4520"/>
    <w:rsid w:val="003C50A5"/>
    <w:rsid w:val="003C7DCE"/>
    <w:rsid w:val="003D0B3D"/>
    <w:rsid w:val="003D585C"/>
    <w:rsid w:val="003D5DCE"/>
    <w:rsid w:val="003D7E8E"/>
    <w:rsid w:val="003E2AD7"/>
    <w:rsid w:val="003E3D28"/>
    <w:rsid w:val="003E584E"/>
    <w:rsid w:val="003E715A"/>
    <w:rsid w:val="003F13D4"/>
    <w:rsid w:val="003F22F9"/>
    <w:rsid w:val="003F466D"/>
    <w:rsid w:val="003F4A46"/>
    <w:rsid w:val="003F5C51"/>
    <w:rsid w:val="003F7BA1"/>
    <w:rsid w:val="00400C37"/>
    <w:rsid w:val="0040146B"/>
    <w:rsid w:val="00401AD3"/>
    <w:rsid w:val="00403178"/>
    <w:rsid w:val="00404468"/>
    <w:rsid w:val="004065CB"/>
    <w:rsid w:val="00410D44"/>
    <w:rsid w:val="0041392E"/>
    <w:rsid w:val="00414253"/>
    <w:rsid w:val="00414E96"/>
    <w:rsid w:val="004209C4"/>
    <w:rsid w:val="004227AE"/>
    <w:rsid w:val="00423A04"/>
    <w:rsid w:val="00424A2E"/>
    <w:rsid w:val="00426FBC"/>
    <w:rsid w:val="00427B05"/>
    <w:rsid w:val="004307FC"/>
    <w:rsid w:val="00430C80"/>
    <w:rsid w:val="00431885"/>
    <w:rsid w:val="00432189"/>
    <w:rsid w:val="00432C41"/>
    <w:rsid w:val="00433BF6"/>
    <w:rsid w:val="00435FEA"/>
    <w:rsid w:val="0044330F"/>
    <w:rsid w:val="004459A5"/>
    <w:rsid w:val="00445F4D"/>
    <w:rsid w:val="004471CC"/>
    <w:rsid w:val="00452AE2"/>
    <w:rsid w:val="004543DE"/>
    <w:rsid w:val="004547ED"/>
    <w:rsid w:val="00460934"/>
    <w:rsid w:val="00461FC6"/>
    <w:rsid w:val="0046215C"/>
    <w:rsid w:val="00464BF2"/>
    <w:rsid w:val="00470894"/>
    <w:rsid w:val="00476CEB"/>
    <w:rsid w:val="0048378F"/>
    <w:rsid w:val="00483AF6"/>
    <w:rsid w:val="00485760"/>
    <w:rsid w:val="00486FD4"/>
    <w:rsid w:val="00490569"/>
    <w:rsid w:val="00491FE3"/>
    <w:rsid w:val="00492B6C"/>
    <w:rsid w:val="0049653D"/>
    <w:rsid w:val="00496940"/>
    <w:rsid w:val="004973FB"/>
    <w:rsid w:val="004B0C2A"/>
    <w:rsid w:val="004B59D6"/>
    <w:rsid w:val="004D3BA2"/>
    <w:rsid w:val="004D44B4"/>
    <w:rsid w:val="004E1676"/>
    <w:rsid w:val="004E3A38"/>
    <w:rsid w:val="004E6050"/>
    <w:rsid w:val="00501AAE"/>
    <w:rsid w:val="00501C3E"/>
    <w:rsid w:val="00502A0F"/>
    <w:rsid w:val="00504818"/>
    <w:rsid w:val="0050530A"/>
    <w:rsid w:val="0050582C"/>
    <w:rsid w:val="00505C59"/>
    <w:rsid w:val="00507542"/>
    <w:rsid w:val="00510155"/>
    <w:rsid w:val="00514626"/>
    <w:rsid w:val="00516E5C"/>
    <w:rsid w:val="005203CC"/>
    <w:rsid w:val="00523062"/>
    <w:rsid w:val="00523CDF"/>
    <w:rsid w:val="005240FF"/>
    <w:rsid w:val="005257B2"/>
    <w:rsid w:val="005269D3"/>
    <w:rsid w:val="00531F72"/>
    <w:rsid w:val="00533C60"/>
    <w:rsid w:val="00534C3A"/>
    <w:rsid w:val="0054078F"/>
    <w:rsid w:val="0054142E"/>
    <w:rsid w:val="0054146E"/>
    <w:rsid w:val="005423B3"/>
    <w:rsid w:val="00542BA2"/>
    <w:rsid w:val="0054388E"/>
    <w:rsid w:val="005525EF"/>
    <w:rsid w:val="00552BEC"/>
    <w:rsid w:val="005533F2"/>
    <w:rsid w:val="00557243"/>
    <w:rsid w:val="00560A0F"/>
    <w:rsid w:val="005659C1"/>
    <w:rsid w:val="005672E3"/>
    <w:rsid w:val="0057188A"/>
    <w:rsid w:val="00571A4B"/>
    <w:rsid w:val="005722DA"/>
    <w:rsid w:val="00573E18"/>
    <w:rsid w:val="005837EE"/>
    <w:rsid w:val="00587F85"/>
    <w:rsid w:val="0059612D"/>
    <w:rsid w:val="005A12B1"/>
    <w:rsid w:val="005A22AA"/>
    <w:rsid w:val="005A307A"/>
    <w:rsid w:val="005A5B62"/>
    <w:rsid w:val="005A61B8"/>
    <w:rsid w:val="005B0FCE"/>
    <w:rsid w:val="005B2871"/>
    <w:rsid w:val="005C331B"/>
    <w:rsid w:val="005C4209"/>
    <w:rsid w:val="005D3EA3"/>
    <w:rsid w:val="005D5E55"/>
    <w:rsid w:val="005D5F6F"/>
    <w:rsid w:val="005E1DA6"/>
    <w:rsid w:val="005E2FE8"/>
    <w:rsid w:val="005E576C"/>
    <w:rsid w:val="005F567C"/>
    <w:rsid w:val="005F5BF6"/>
    <w:rsid w:val="005F72B4"/>
    <w:rsid w:val="00602E96"/>
    <w:rsid w:val="00610841"/>
    <w:rsid w:val="00612697"/>
    <w:rsid w:val="006146FE"/>
    <w:rsid w:val="00614E79"/>
    <w:rsid w:val="00624570"/>
    <w:rsid w:val="00624BF7"/>
    <w:rsid w:val="006258F1"/>
    <w:rsid w:val="00630865"/>
    <w:rsid w:val="00631F36"/>
    <w:rsid w:val="006356BC"/>
    <w:rsid w:val="006373EF"/>
    <w:rsid w:val="00647A56"/>
    <w:rsid w:val="0065427E"/>
    <w:rsid w:val="0065621E"/>
    <w:rsid w:val="00661E72"/>
    <w:rsid w:val="006651F6"/>
    <w:rsid w:val="00665CCE"/>
    <w:rsid w:val="00667A47"/>
    <w:rsid w:val="006723E9"/>
    <w:rsid w:val="00690E67"/>
    <w:rsid w:val="00692631"/>
    <w:rsid w:val="00693377"/>
    <w:rsid w:val="00696566"/>
    <w:rsid w:val="006A0C35"/>
    <w:rsid w:val="006A6585"/>
    <w:rsid w:val="006A6926"/>
    <w:rsid w:val="006B02A4"/>
    <w:rsid w:val="006B621E"/>
    <w:rsid w:val="006C16A0"/>
    <w:rsid w:val="006C35D1"/>
    <w:rsid w:val="006C66E0"/>
    <w:rsid w:val="006D4E8C"/>
    <w:rsid w:val="006D606E"/>
    <w:rsid w:val="006D71B3"/>
    <w:rsid w:val="006D7C11"/>
    <w:rsid w:val="006E240E"/>
    <w:rsid w:val="006E2BE4"/>
    <w:rsid w:val="006E3BC9"/>
    <w:rsid w:val="006E54A8"/>
    <w:rsid w:val="006E7B1B"/>
    <w:rsid w:val="006F0828"/>
    <w:rsid w:val="006F628F"/>
    <w:rsid w:val="006F6DFA"/>
    <w:rsid w:val="006F7A68"/>
    <w:rsid w:val="00700D06"/>
    <w:rsid w:val="00701D01"/>
    <w:rsid w:val="00702FD3"/>
    <w:rsid w:val="00703145"/>
    <w:rsid w:val="00706BFE"/>
    <w:rsid w:val="00720352"/>
    <w:rsid w:val="007230D8"/>
    <w:rsid w:val="00725D57"/>
    <w:rsid w:val="00726136"/>
    <w:rsid w:val="0072640E"/>
    <w:rsid w:val="00732033"/>
    <w:rsid w:val="007325B1"/>
    <w:rsid w:val="00733D10"/>
    <w:rsid w:val="0073508E"/>
    <w:rsid w:val="00744956"/>
    <w:rsid w:val="0075047F"/>
    <w:rsid w:val="007511AF"/>
    <w:rsid w:val="007534CF"/>
    <w:rsid w:val="00753FCD"/>
    <w:rsid w:val="00760957"/>
    <w:rsid w:val="00763B9E"/>
    <w:rsid w:val="007654DB"/>
    <w:rsid w:val="00766E1D"/>
    <w:rsid w:val="0076756C"/>
    <w:rsid w:val="00767EB6"/>
    <w:rsid w:val="00773AE1"/>
    <w:rsid w:val="0077441E"/>
    <w:rsid w:val="007744B6"/>
    <w:rsid w:val="00775247"/>
    <w:rsid w:val="007754E6"/>
    <w:rsid w:val="007772B9"/>
    <w:rsid w:val="0078077A"/>
    <w:rsid w:val="00781892"/>
    <w:rsid w:val="00782018"/>
    <w:rsid w:val="0078696A"/>
    <w:rsid w:val="00792BA2"/>
    <w:rsid w:val="007A6EE6"/>
    <w:rsid w:val="007B40CE"/>
    <w:rsid w:val="007C06F3"/>
    <w:rsid w:val="007C1E83"/>
    <w:rsid w:val="007C59A5"/>
    <w:rsid w:val="007C722F"/>
    <w:rsid w:val="007D1595"/>
    <w:rsid w:val="007D5FDC"/>
    <w:rsid w:val="007D5FFF"/>
    <w:rsid w:val="007E13A0"/>
    <w:rsid w:val="007E58AD"/>
    <w:rsid w:val="007E62F9"/>
    <w:rsid w:val="007F08B4"/>
    <w:rsid w:val="008027C9"/>
    <w:rsid w:val="00807229"/>
    <w:rsid w:val="0081030A"/>
    <w:rsid w:val="00813D6F"/>
    <w:rsid w:val="00813DFC"/>
    <w:rsid w:val="00813E26"/>
    <w:rsid w:val="00816D38"/>
    <w:rsid w:val="00821C83"/>
    <w:rsid w:val="00822002"/>
    <w:rsid w:val="00822132"/>
    <w:rsid w:val="00825E52"/>
    <w:rsid w:val="00827437"/>
    <w:rsid w:val="00830C10"/>
    <w:rsid w:val="008312E6"/>
    <w:rsid w:val="008348E8"/>
    <w:rsid w:val="008367C2"/>
    <w:rsid w:val="00844336"/>
    <w:rsid w:val="008443A5"/>
    <w:rsid w:val="00850305"/>
    <w:rsid w:val="00850E42"/>
    <w:rsid w:val="00851B90"/>
    <w:rsid w:val="00852B1B"/>
    <w:rsid w:val="00854259"/>
    <w:rsid w:val="00860297"/>
    <w:rsid w:val="00865BB6"/>
    <w:rsid w:val="00875BC9"/>
    <w:rsid w:val="008861B9"/>
    <w:rsid w:val="0088621B"/>
    <w:rsid w:val="008915E3"/>
    <w:rsid w:val="00891C2F"/>
    <w:rsid w:val="00893E42"/>
    <w:rsid w:val="00894958"/>
    <w:rsid w:val="008A0016"/>
    <w:rsid w:val="008A02CC"/>
    <w:rsid w:val="008A0EB9"/>
    <w:rsid w:val="008A23AB"/>
    <w:rsid w:val="008A67FB"/>
    <w:rsid w:val="008A6A4D"/>
    <w:rsid w:val="008B1610"/>
    <w:rsid w:val="008B1716"/>
    <w:rsid w:val="008B2E5C"/>
    <w:rsid w:val="008B63B8"/>
    <w:rsid w:val="008C029A"/>
    <w:rsid w:val="008C4265"/>
    <w:rsid w:val="008C4ED8"/>
    <w:rsid w:val="008C59B6"/>
    <w:rsid w:val="008C5E94"/>
    <w:rsid w:val="008D1594"/>
    <w:rsid w:val="008D27FB"/>
    <w:rsid w:val="008D3A9C"/>
    <w:rsid w:val="008D4BA9"/>
    <w:rsid w:val="008D7F81"/>
    <w:rsid w:val="008E14FD"/>
    <w:rsid w:val="008E3F20"/>
    <w:rsid w:val="008E555A"/>
    <w:rsid w:val="008E7781"/>
    <w:rsid w:val="008F3C01"/>
    <w:rsid w:val="008F3E12"/>
    <w:rsid w:val="0090683B"/>
    <w:rsid w:val="0090760A"/>
    <w:rsid w:val="00911488"/>
    <w:rsid w:val="00912643"/>
    <w:rsid w:val="009154B7"/>
    <w:rsid w:val="0091663E"/>
    <w:rsid w:val="00916F20"/>
    <w:rsid w:val="009177DD"/>
    <w:rsid w:val="00921494"/>
    <w:rsid w:val="009237DF"/>
    <w:rsid w:val="0094005E"/>
    <w:rsid w:val="00940DEC"/>
    <w:rsid w:val="00945427"/>
    <w:rsid w:val="00947694"/>
    <w:rsid w:val="009477FE"/>
    <w:rsid w:val="00950779"/>
    <w:rsid w:val="00951F08"/>
    <w:rsid w:val="0095521D"/>
    <w:rsid w:val="00957837"/>
    <w:rsid w:val="0096575C"/>
    <w:rsid w:val="0097053C"/>
    <w:rsid w:val="0097069C"/>
    <w:rsid w:val="00971034"/>
    <w:rsid w:val="00972E1C"/>
    <w:rsid w:val="00976761"/>
    <w:rsid w:val="0097711D"/>
    <w:rsid w:val="00977E97"/>
    <w:rsid w:val="00980187"/>
    <w:rsid w:val="009808C4"/>
    <w:rsid w:val="00980AF9"/>
    <w:rsid w:val="00981189"/>
    <w:rsid w:val="00981854"/>
    <w:rsid w:val="009855FA"/>
    <w:rsid w:val="00986AA9"/>
    <w:rsid w:val="00986C4D"/>
    <w:rsid w:val="00995B92"/>
    <w:rsid w:val="009A06AA"/>
    <w:rsid w:val="009A3DAD"/>
    <w:rsid w:val="009B03AF"/>
    <w:rsid w:val="009B7C3F"/>
    <w:rsid w:val="009B7DA3"/>
    <w:rsid w:val="009C0016"/>
    <w:rsid w:val="009C0787"/>
    <w:rsid w:val="009C1DD1"/>
    <w:rsid w:val="009C54D6"/>
    <w:rsid w:val="009C6CA2"/>
    <w:rsid w:val="009C78DE"/>
    <w:rsid w:val="009E1B6E"/>
    <w:rsid w:val="009E4203"/>
    <w:rsid w:val="009E4F88"/>
    <w:rsid w:val="009F41AA"/>
    <w:rsid w:val="00A0658F"/>
    <w:rsid w:val="00A10391"/>
    <w:rsid w:val="00A119BE"/>
    <w:rsid w:val="00A173B0"/>
    <w:rsid w:val="00A17C51"/>
    <w:rsid w:val="00A2030A"/>
    <w:rsid w:val="00A22D7D"/>
    <w:rsid w:val="00A23542"/>
    <w:rsid w:val="00A2401B"/>
    <w:rsid w:val="00A257AC"/>
    <w:rsid w:val="00A27CE9"/>
    <w:rsid w:val="00A31A91"/>
    <w:rsid w:val="00A33B18"/>
    <w:rsid w:val="00A379C5"/>
    <w:rsid w:val="00A404CB"/>
    <w:rsid w:val="00A4299F"/>
    <w:rsid w:val="00A42A0D"/>
    <w:rsid w:val="00A42A13"/>
    <w:rsid w:val="00A42F8B"/>
    <w:rsid w:val="00A443EC"/>
    <w:rsid w:val="00A45BF8"/>
    <w:rsid w:val="00A46F34"/>
    <w:rsid w:val="00A47F71"/>
    <w:rsid w:val="00A506D3"/>
    <w:rsid w:val="00A52D2E"/>
    <w:rsid w:val="00A56AA2"/>
    <w:rsid w:val="00A70FA5"/>
    <w:rsid w:val="00A74EFF"/>
    <w:rsid w:val="00A75111"/>
    <w:rsid w:val="00A75360"/>
    <w:rsid w:val="00A84C82"/>
    <w:rsid w:val="00A90D08"/>
    <w:rsid w:val="00A91A34"/>
    <w:rsid w:val="00A9547C"/>
    <w:rsid w:val="00A976F4"/>
    <w:rsid w:val="00AA75C1"/>
    <w:rsid w:val="00AB09EB"/>
    <w:rsid w:val="00AB32E6"/>
    <w:rsid w:val="00AB5157"/>
    <w:rsid w:val="00AC0A27"/>
    <w:rsid w:val="00AC0F4A"/>
    <w:rsid w:val="00AC2F76"/>
    <w:rsid w:val="00AC4EBE"/>
    <w:rsid w:val="00AC585A"/>
    <w:rsid w:val="00AC5D68"/>
    <w:rsid w:val="00AD0832"/>
    <w:rsid w:val="00AD3268"/>
    <w:rsid w:val="00AD3E22"/>
    <w:rsid w:val="00AD6F21"/>
    <w:rsid w:val="00AE49CC"/>
    <w:rsid w:val="00AE5FD4"/>
    <w:rsid w:val="00AE75B6"/>
    <w:rsid w:val="00B008B8"/>
    <w:rsid w:val="00B02620"/>
    <w:rsid w:val="00B038B5"/>
    <w:rsid w:val="00B038C8"/>
    <w:rsid w:val="00B0417D"/>
    <w:rsid w:val="00B07B0D"/>
    <w:rsid w:val="00B119BC"/>
    <w:rsid w:val="00B16518"/>
    <w:rsid w:val="00B16F62"/>
    <w:rsid w:val="00B20848"/>
    <w:rsid w:val="00B20C03"/>
    <w:rsid w:val="00B218FE"/>
    <w:rsid w:val="00B25836"/>
    <w:rsid w:val="00B25C3D"/>
    <w:rsid w:val="00B25C65"/>
    <w:rsid w:val="00B31AF8"/>
    <w:rsid w:val="00B34638"/>
    <w:rsid w:val="00B34D82"/>
    <w:rsid w:val="00B35293"/>
    <w:rsid w:val="00B3757B"/>
    <w:rsid w:val="00B40FE5"/>
    <w:rsid w:val="00B436FA"/>
    <w:rsid w:val="00B4688C"/>
    <w:rsid w:val="00B507FD"/>
    <w:rsid w:val="00B53022"/>
    <w:rsid w:val="00B55059"/>
    <w:rsid w:val="00B55CD8"/>
    <w:rsid w:val="00B55D93"/>
    <w:rsid w:val="00B571EF"/>
    <w:rsid w:val="00B625A6"/>
    <w:rsid w:val="00B6265B"/>
    <w:rsid w:val="00B647AF"/>
    <w:rsid w:val="00B65D6A"/>
    <w:rsid w:val="00B661E3"/>
    <w:rsid w:val="00B72C74"/>
    <w:rsid w:val="00B761FF"/>
    <w:rsid w:val="00B77EFF"/>
    <w:rsid w:val="00B8048C"/>
    <w:rsid w:val="00B8202B"/>
    <w:rsid w:val="00B82B44"/>
    <w:rsid w:val="00B83831"/>
    <w:rsid w:val="00B87BF2"/>
    <w:rsid w:val="00B9004A"/>
    <w:rsid w:val="00B9524E"/>
    <w:rsid w:val="00B96B71"/>
    <w:rsid w:val="00BA0179"/>
    <w:rsid w:val="00BA21DB"/>
    <w:rsid w:val="00BA27BF"/>
    <w:rsid w:val="00BA7C52"/>
    <w:rsid w:val="00BB143A"/>
    <w:rsid w:val="00BB1DD9"/>
    <w:rsid w:val="00BC2DAF"/>
    <w:rsid w:val="00BC79A5"/>
    <w:rsid w:val="00BC7CF4"/>
    <w:rsid w:val="00BD01A9"/>
    <w:rsid w:val="00BD4362"/>
    <w:rsid w:val="00BE0AEF"/>
    <w:rsid w:val="00BE0CFE"/>
    <w:rsid w:val="00BE1A6D"/>
    <w:rsid w:val="00BE3DDB"/>
    <w:rsid w:val="00BE641D"/>
    <w:rsid w:val="00BF47B9"/>
    <w:rsid w:val="00BF6968"/>
    <w:rsid w:val="00C0170D"/>
    <w:rsid w:val="00C0252D"/>
    <w:rsid w:val="00C10F3E"/>
    <w:rsid w:val="00C11123"/>
    <w:rsid w:val="00C143B9"/>
    <w:rsid w:val="00C14FC6"/>
    <w:rsid w:val="00C20581"/>
    <w:rsid w:val="00C20DAA"/>
    <w:rsid w:val="00C26911"/>
    <w:rsid w:val="00C316B3"/>
    <w:rsid w:val="00C31FF0"/>
    <w:rsid w:val="00C37630"/>
    <w:rsid w:val="00C43D48"/>
    <w:rsid w:val="00C468AE"/>
    <w:rsid w:val="00C524BA"/>
    <w:rsid w:val="00C56F3D"/>
    <w:rsid w:val="00C65314"/>
    <w:rsid w:val="00C67FE9"/>
    <w:rsid w:val="00C72448"/>
    <w:rsid w:val="00C72AB4"/>
    <w:rsid w:val="00C73AF7"/>
    <w:rsid w:val="00C748ED"/>
    <w:rsid w:val="00C81C45"/>
    <w:rsid w:val="00C81FC8"/>
    <w:rsid w:val="00C9194C"/>
    <w:rsid w:val="00CA03C5"/>
    <w:rsid w:val="00CA3FC4"/>
    <w:rsid w:val="00CA7001"/>
    <w:rsid w:val="00CB129A"/>
    <w:rsid w:val="00CB1869"/>
    <w:rsid w:val="00CB1EF0"/>
    <w:rsid w:val="00CB5D6D"/>
    <w:rsid w:val="00CB70F0"/>
    <w:rsid w:val="00CC06AD"/>
    <w:rsid w:val="00CC2E32"/>
    <w:rsid w:val="00CD2324"/>
    <w:rsid w:val="00CD43B3"/>
    <w:rsid w:val="00CD4DB9"/>
    <w:rsid w:val="00CD71C8"/>
    <w:rsid w:val="00CD78BC"/>
    <w:rsid w:val="00CE1A08"/>
    <w:rsid w:val="00CE5A64"/>
    <w:rsid w:val="00CF5099"/>
    <w:rsid w:val="00CF607A"/>
    <w:rsid w:val="00CF712B"/>
    <w:rsid w:val="00D001AE"/>
    <w:rsid w:val="00D06F19"/>
    <w:rsid w:val="00D07FF2"/>
    <w:rsid w:val="00D12324"/>
    <w:rsid w:val="00D13C9D"/>
    <w:rsid w:val="00D147ED"/>
    <w:rsid w:val="00D20CEF"/>
    <w:rsid w:val="00D24DE7"/>
    <w:rsid w:val="00D30B6D"/>
    <w:rsid w:val="00D31372"/>
    <w:rsid w:val="00D321B9"/>
    <w:rsid w:val="00D34432"/>
    <w:rsid w:val="00D37338"/>
    <w:rsid w:val="00D45794"/>
    <w:rsid w:val="00D46B23"/>
    <w:rsid w:val="00D479C3"/>
    <w:rsid w:val="00D510C8"/>
    <w:rsid w:val="00D51524"/>
    <w:rsid w:val="00D51ACB"/>
    <w:rsid w:val="00D53990"/>
    <w:rsid w:val="00D551E3"/>
    <w:rsid w:val="00D570D1"/>
    <w:rsid w:val="00D60017"/>
    <w:rsid w:val="00D63CA3"/>
    <w:rsid w:val="00D664BA"/>
    <w:rsid w:val="00D700EE"/>
    <w:rsid w:val="00D70A71"/>
    <w:rsid w:val="00D726CC"/>
    <w:rsid w:val="00D730BB"/>
    <w:rsid w:val="00D73558"/>
    <w:rsid w:val="00D806E6"/>
    <w:rsid w:val="00D901AD"/>
    <w:rsid w:val="00D91AE9"/>
    <w:rsid w:val="00D929E2"/>
    <w:rsid w:val="00D92DC1"/>
    <w:rsid w:val="00D94113"/>
    <w:rsid w:val="00D949B7"/>
    <w:rsid w:val="00D97B8C"/>
    <w:rsid w:val="00DA0D98"/>
    <w:rsid w:val="00DA1540"/>
    <w:rsid w:val="00DA6691"/>
    <w:rsid w:val="00DB0130"/>
    <w:rsid w:val="00DB5358"/>
    <w:rsid w:val="00DB5E57"/>
    <w:rsid w:val="00DB73EA"/>
    <w:rsid w:val="00DC412B"/>
    <w:rsid w:val="00DC5B4A"/>
    <w:rsid w:val="00DD50B6"/>
    <w:rsid w:val="00DD7610"/>
    <w:rsid w:val="00DE14DF"/>
    <w:rsid w:val="00DE23E8"/>
    <w:rsid w:val="00DF4F49"/>
    <w:rsid w:val="00E02AE3"/>
    <w:rsid w:val="00E10486"/>
    <w:rsid w:val="00E133DF"/>
    <w:rsid w:val="00E138B1"/>
    <w:rsid w:val="00E17651"/>
    <w:rsid w:val="00E21E23"/>
    <w:rsid w:val="00E23C5B"/>
    <w:rsid w:val="00E2408E"/>
    <w:rsid w:val="00E24889"/>
    <w:rsid w:val="00E30C65"/>
    <w:rsid w:val="00E312CA"/>
    <w:rsid w:val="00E357D0"/>
    <w:rsid w:val="00E36D4D"/>
    <w:rsid w:val="00E36F14"/>
    <w:rsid w:val="00E377E9"/>
    <w:rsid w:val="00E450E5"/>
    <w:rsid w:val="00E45147"/>
    <w:rsid w:val="00E45C77"/>
    <w:rsid w:val="00E52E3C"/>
    <w:rsid w:val="00E53312"/>
    <w:rsid w:val="00E55629"/>
    <w:rsid w:val="00E5615A"/>
    <w:rsid w:val="00E5674B"/>
    <w:rsid w:val="00E6123B"/>
    <w:rsid w:val="00E615B2"/>
    <w:rsid w:val="00E64DD8"/>
    <w:rsid w:val="00E65593"/>
    <w:rsid w:val="00E72C4F"/>
    <w:rsid w:val="00E7433C"/>
    <w:rsid w:val="00E7644B"/>
    <w:rsid w:val="00E778C5"/>
    <w:rsid w:val="00E92D59"/>
    <w:rsid w:val="00EA0A98"/>
    <w:rsid w:val="00EA24E1"/>
    <w:rsid w:val="00EA2F4C"/>
    <w:rsid w:val="00EA31DA"/>
    <w:rsid w:val="00EA507A"/>
    <w:rsid w:val="00EB14DF"/>
    <w:rsid w:val="00EB2E99"/>
    <w:rsid w:val="00EB389C"/>
    <w:rsid w:val="00EC0E15"/>
    <w:rsid w:val="00EC3016"/>
    <w:rsid w:val="00ED3213"/>
    <w:rsid w:val="00ED443D"/>
    <w:rsid w:val="00ED48DC"/>
    <w:rsid w:val="00ED5522"/>
    <w:rsid w:val="00ED570E"/>
    <w:rsid w:val="00ED66C6"/>
    <w:rsid w:val="00ED72C4"/>
    <w:rsid w:val="00EE10C3"/>
    <w:rsid w:val="00EE1EC7"/>
    <w:rsid w:val="00EE2D9E"/>
    <w:rsid w:val="00EE7D18"/>
    <w:rsid w:val="00EF00FF"/>
    <w:rsid w:val="00EF2CB5"/>
    <w:rsid w:val="00EF3A2C"/>
    <w:rsid w:val="00EF4998"/>
    <w:rsid w:val="00EF5031"/>
    <w:rsid w:val="00F00248"/>
    <w:rsid w:val="00F02E98"/>
    <w:rsid w:val="00F030D1"/>
    <w:rsid w:val="00F03E14"/>
    <w:rsid w:val="00F03F13"/>
    <w:rsid w:val="00F04074"/>
    <w:rsid w:val="00F06927"/>
    <w:rsid w:val="00F11F62"/>
    <w:rsid w:val="00F25129"/>
    <w:rsid w:val="00F2648E"/>
    <w:rsid w:val="00F264B1"/>
    <w:rsid w:val="00F31A7C"/>
    <w:rsid w:val="00F37A85"/>
    <w:rsid w:val="00F42AC4"/>
    <w:rsid w:val="00F47F76"/>
    <w:rsid w:val="00F5008C"/>
    <w:rsid w:val="00F5102E"/>
    <w:rsid w:val="00F604E1"/>
    <w:rsid w:val="00F630B5"/>
    <w:rsid w:val="00F71D7F"/>
    <w:rsid w:val="00F7434B"/>
    <w:rsid w:val="00F74E13"/>
    <w:rsid w:val="00F77154"/>
    <w:rsid w:val="00F80951"/>
    <w:rsid w:val="00F81651"/>
    <w:rsid w:val="00F831E6"/>
    <w:rsid w:val="00F83E9D"/>
    <w:rsid w:val="00F845E8"/>
    <w:rsid w:val="00F86173"/>
    <w:rsid w:val="00F9100E"/>
    <w:rsid w:val="00F91BE1"/>
    <w:rsid w:val="00F92C50"/>
    <w:rsid w:val="00FA15B5"/>
    <w:rsid w:val="00FA1E06"/>
    <w:rsid w:val="00FA1F8A"/>
    <w:rsid w:val="00FA50E8"/>
    <w:rsid w:val="00FA70FD"/>
    <w:rsid w:val="00FB02F4"/>
    <w:rsid w:val="00FB21A6"/>
    <w:rsid w:val="00FB5E80"/>
    <w:rsid w:val="00FC1341"/>
    <w:rsid w:val="00FC2B50"/>
    <w:rsid w:val="00FC39BB"/>
    <w:rsid w:val="00FC5A27"/>
    <w:rsid w:val="00FC751D"/>
    <w:rsid w:val="00FD09E2"/>
    <w:rsid w:val="00FD2702"/>
    <w:rsid w:val="00FD4183"/>
    <w:rsid w:val="00FD4847"/>
    <w:rsid w:val="00FD6762"/>
    <w:rsid w:val="00FE0FD9"/>
    <w:rsid w:val="00FE22A6"/>
    <w:rsid w:val="00FE3EF4"/>
    <w:rsid w:val="00FF4595"/>
    <w:rsid w:val="00FF55AB"/>
    <w:rsid w:val="00FF7078"/>
    <w:rsid w:val="00FF7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o paragraph"/>
    <w:qFormat/>
    <w:rsid w:val="003B235A"/>
    <w:pPr>
      <w:spacing w:before="120" w:after="120" w:line="280" w:lineRule="exact"/>
      <w:jc w:val="both"/>
    </w:pPr>
    <w:rPr>
      <w:rFonts w:ascii="Arial Narrow" w:hAnsi="Arial Narrow"/>
      <w:spacing w:val="-2"/>
      <w:kern w:val="22"/>
      <w:sz w:val="22"/>
      <w:szCs w:val="22"/>
    </w:rPr>
  </w:style>
  <w:style w:type="paragraph" w:styleId="Heading1">
    <w:name w:val="heading 1"/>
    <w:basedOn w:val="Normal"/>
    <w:next w:val="Normal"/>
    <w:link w:val="Heading1Char"/>
    <w:uiPriority w:val="9"/>
    <w:qFormat/>
    <w:rsid w:val="005672E3"/>
    <w:pPr>
      <w:spacing w:before="220" w:after="220" w:line="276" w:lineRule="auto"/>
      <w:jc w:val="left"/>
      <w:outlineLvl w:val="0"/>
    </w:pPr>
    <w:rPr>
      <w:b/>
      <w:sz w:val="28"/>
      <w:szCs w:val="28"/>
    </w:rPr>
  </w:style>
  <w:style w:type="paragraph" w:styleId="Heading2">
    <w:name w:val="heading 2"/>
    <w:basedOn w:val="Normal"/>
    <w:next w:val="Normal"/>
    <w:link w:val="Heading2Char"/>
    <w:uiPriority w:val="9"/>
    <w:unhideWhenUsed/>
    <w:qFormat/>
    <w:rsid w:val="005672E3"/>
    <w:pPr>
      <w:spacing w:before="0" w:after="200" w:line="276" w:lineRule="auto"/>
      <w:jc w:val="left"/>
      <w:outlineLvl w:val="1"/>
    </w:pPr>
    <w:rPr>
      <w:b/>
    </w:rPr>
  </w:style>
  <w:style w:type="paragraph" w:styleId="Heading3">
    <w:name w:val="heading 3"/>
    <w:basedOn w:val="Normal"/>
    <w:next w:val="Normal"/>
    <w:link w:val="Heading3Char"/>
    <w:uiPriority w:val="9"/>
    <w:unhideWhenUsed/>
    <w:qFormat/>
    <w:rsid w:val="00374A23"/>
    <w:pPr>
      <w:spacing w:before="220" w:after="2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E3"/>
    <w:rPr>
      <w:rFonts w:ascii="Arial Narrow" w:hAnsi="Arial Narrow" w:cs="Times New Roman"/>
      <w:b/>
      <w:spacing w:val="-2"/>
      <w:kern w:val="22"/>
      <w:sz w:val="28"/>
      <w:szCs w:val="28"/>
      <w:lang w:eastAsia="en-AU"/>
    </w:rPr>
  </w:style>
  <w:style w:type="character" w:customStyle="1" w:styleId="Heading2Char">
    <w:name w:val="Heading 2 Char"/>
    <w:basedOn w:val="DefaultParagraphFont"/>
    <w:link w:val="Heading2"/>
    <w:uiPriority w:val="9"/>
    <w:rsid w:val="005672E3"/>
    <w:rPr>
      <w:rFonts w:ascii="Arial Narrow" w:hAnsi="Arial Narrow" w:cs="Times New Roman"/>
      <w:b/>
      <w:spacing w:val="-2"/>
      <w:kern w:val="22"/>
      <w:lang w:eastAsia="en-AU"/>
    </w:rPr>
  </w:style>
  <w:style w:type="character" w:customStyle="1" w:styleId="Heading3Char">
    <w:name w:val="Heading 3 Char"/>
    <w:basedOn w:val="DefaultParagraphFont"/>
    <w:link w:val="Heading3"/>
    <w:uiPriority w:val="9"/>
    <w:rsid w:val="00374A23"/>
    <w:rPr>
      <w:rFonts w:ascii="Arial Narrow" w:hAnsi="Arial Narrow" w:cs="Times New Roman"/>
      <w:spacing w:val="-2"/>
      <w:kern w:val="22"/>
      <w:u w:val="single"/>
      <w:lang w:eastAsia="en-AU"/>
    </w:rPr>
  </w:style>
  <w:style w:type="table" w:customStyle="1" w:styleId="TCorp">
    <w:name w:val="TCorp"/>
    <w:basedOn w:val="TableNormal"/>
    <w:uiPriority w:val="99"/>
    <w:qFormat/>
    <w:rsid w:val="009855FA"/>
    <w:pPr>
      <w:jc w:val="center"/>
    </w:pPr>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rPr>
        <w:rFonts w:ascii="Arial Narrow" w:hAnsi="Arial Narrow"/>
        <w:b/>
        <w:color w:val="FFFFFF"/>
        <w:sz w:val="22"/>
      </w:rPr>
      <w:tblPr/>
      <w:tcPr>
        <w:shd w:val="clear" w:color="auto" w:fill="BACFF8"/>
      </w:tcPr>
    </w:tblStylePr>
    <w:tblStylePr w:type="band2Vert">
      <w:pPr>
        <w:jc w:val="center"/>
      </w:pPr>
      <w:tblPr/>
      <w:tcPr>
        <w:vAlign w:val="top"/>
      </w:tcPr>
    </w:tblStylePr>
    <w:tblStylePr w:type="band2Horz">
      <w:pPr>
        <w:jc w:val="center"/>
      </w:pPr>
      <w:tblPr/>
      <w:tcPr>
        <w:shd w:val="clear" w:color="auto" w:fill="EBF2FA"/>
        <w:vAlign w:val="top"/>
      </w:tcPr>
    </w:tblStylePr>
  </w:style>
  <w:style w:type="table" w:styleId="TableGrid">
    <w:name w:val="Table Grid"/>
    <w:basedOn w:val="TableNormal"/>
    <w:uiPriority w:val="59"/>
    <w:rsid w:val="001967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23937"/>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023937"/>
    <w:rPr>
      <w:rFonts w:ascii="Arial Narrow" w:hAnsi="Arial Narrow" w:cs="Times New Roman"/>
      <w:spacing w:val="-2"/>
      <w:kern w:val="22"/>
      <w:lang w:eastAsia="en-AU"/>
    </w:rPr>
  </w:style>
  <w:style w:type="paragraph" w:styleId="Footer">
    <w:name w:val="footer"/>
    <w:basedOn w:val="Normal"/>
    <w:link w:val="FooterChar"/>
    <w:uiPriority w:val="99"/>
    <w:unhideWhenUsed/>
    <w:rsid w:val="000239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3937"/>
    <w:rPr>
      <w:rFonts w:ascii="Arial Narrow" w:hAnsi="Arial Narrow" w:cs="Times New Roman"/>
      <w:spacing w:val="-2"/>
      <w:kern w:val="22"/>
      <w:lang w:eastAsia="en-AU"/>
    </w:rPr>
  </w:style>
  <w:style w:type="paragraph" w:styleId="ListParagraph">
    <w:name w:val="List Paragraph"/>
    <w:basedOn w:val="Normal"/>
    <w:uiPriority w:val="34"/>
    <w:qFormat/>
    <w:rsid w:val="00156809"/>
    <w:pPr>
      <w:ind w:left="720"/>
      <w:contextualSpacing/>
    </w:pPr>
  </w:style>
  <w:style w:type="paragraph" w:customStyle="1" w:styleId="Default">
    <w:name w:val="Default"/>
    <w:rsid w:val="006723E9"/>
    <w:pPr>
      <w:autoSpaceDE w:val="0"/>
      <w:autoSpaceDN w:val="0"/>
      <w:adjustRightInd w:val="0"/>
    </w:pPr>
    <w:rPr>
      <w:rFonts w:ascii="Arial" w:eastAsia="Calibri" w:hAnsi="Arial" w:cs="Arial"/>
      <w:color w:val="000000"/>
      <w:sz w:val="24"/>
      <w:szCs w:val="24"/>
      <w:lang w:eastAsia="en-US"/>
    </w:rPr>
  </w:style>
  <w:style w:type="paragraph" w:customStyle="1" w:styleId="chapterno">
    <w:name w:val="chapterno"/>
    <w:basedOn w:val="Normal"/>
    <w:rsid w:val="006723E9"/>
    <w:pPr>
      <w:spacing w:before="0" w:after="0" w:line="240" w:lineRule="auto"/>
      <w:jc w:val="left"/>
    </w:pPr>
    <w:rPr>
      <w:rFonts w:ascii="Times New Roman" w:hAnsi="Times New Roman"/>
      <w:spacing w:val="0"/>
      <w:kern w:val="0"/>
      <w:sz w:val="24"/>
      <w:szCs w:val="24"/>
    </w:rPr>
  </w:style>
  <w:style w:type="paragraph" w:styleId="EndnoteText">
    <w:name w:val="endnote text"/>
    <w:basedOn w:val="Normal"/>
    <w:link w:val="EndnoteTextChar"/>
    <w:uiPriority w:val="99"/>
    <w:semiHidden/>
    <w:unhideWhenUsed/>
    <w:rsid w:val="007869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8696A"/>
    <w:rPr>
      <w:rFonts w:ascii="Arial Narrow" w:hAnsi="Arial Narrow" w:cs="Times New Roman"/>
      <w:spacing w:val="-2"/>
      <w:kern w:val="22"/>
      <w:sz w:val="20"/>
      <w:szCs w:val="20"/>
      <w:lang w:eastAsia="en-AU"/>
    </w:rPr>
  </w:style>
  <w:style w:type="character" w:styleId="EndnoteReference">
    <w:name w:val="endnote reference"/>
    <w:basedOn w:val="DefaultParagraphFont"/>
    <w:uiPriority w:val="99"/>
    <w:semiHidden/>
    <w:unhideWhenUsed/>
    <w:rsid w:val="0078696A"/>
    <w:rPr>
      <w:vertAlign w:val="superscript"/>
    </w:rPr>
  </w:style>
  <w:style w:type="paragraph" w:styleId="BalloonText">
    <w:name w:val="Balloon Text"/>
    <w:basedOn w:val="Normal"/>
    <w:link w:val="BalloonTextChar"/>
    <w:uiPriority w:val="99"/>
    <w:semiHidden/>
    <w:unhideWhenUsed/>
    <w:rsid w:val="007869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6A"/>
    <w:rPr>
      <w:rFonts w:ascii="Tahoma" w:hAnsi="Tahoma" w:cs="Tahoma"/>
      <w:spacing w:val="-2"/>
      <w:kern w:val="22"/>
      <w:sz w:val="16"/>
      <w:szCs w:val="16"/>
      <w:lang w:eastAsia="en-AU"/>
    </w:rPr>
  </w:style>
  <w:style w:type="paragraph" w:styleId="FootnoteText">
    <w:name w:val="footnote text"/>
    <w:basedOn w:val="Normal"/>
    <w:link w:val="FootnoteTextChar"/>
    <w:uiPriority w:val="99"/>
    <w:unhideWhenUsed/>
    <w:rsid w:val="004B0C2A"/>
    <w:pPr>
      <w:spacing w:before="0" w:after="0" w:line="240" w:lineRule="auto"/>
      <w:jc w:val="left"/>
    </w:pPr>
    <w:rPr>
      <w:rFonts w:ascii="Calibri" w:eastAsia="Calibri" w:hAnsi="Calibri"/>
      <w:spacing w:val="0"/>
      <w:kern w:val="0"/>
      <w:sz w:val="20"/>
      <w:szCs w:val="20"/>
      <w:lang w:eastAsia="en-US"/>
    </w:rPr>
  </w:style>
  <w:style w:type="character" w:customStyle="1" w:styleId="FootnoteTextChar">
    <w:name w:val="Footnote Text Char"/>
    <w:basedOn w:val="DefaultParagraphFont"/>
    <w:link w:val="FootnoteText"/>
    <w:uiPriority w:val="99"/>
    <w:rsid w:val="004B0C2A"/>
    <w:rPr>
      <w:rFonts w:eastAsia="Calibri"/>
      <w:sz w:val="20"/>
      <w:szCs w:val="20"/>
    </w:rPr>
  </w:style>
  <w:style w:type="character" w:styleId="FootnoteReference">
    <w:name w:val="footnote reference"/>
    <w:basedOn w:val="DefaultParagraphFont"/>
    <w:uiPriority w:val="99"/>
    <w:semiHidden/>
    <w:unhideWhenUsed/>
    <w:rsid w:val="004B0C2A"/>
    <w:rPr>
      <w:vertAlign w:val="superscript"/>
    </w:rPr>
  </w:style>
  <w:style w:type="character" w:styleId="Hyperlink">
    <w:name w:val="Hyperlink"/>
    <w:basedOn w:val="DefaultParagraphFont"/>
    <w:uiPriority w:val="99"/>
    <w:unhideWhenUsed/>
    <w:rsid w:val="004B0C2A"/>
    <w:rPr>
      <w:strike w:val="0"/>
      <w:dstrike w:val="0"/>
      <w:color w:val="CD4900"/>
      <w:sz w:val="18"/>
      <w:szCs w:val="18"/>
      <w:u w:val="none"/>
      <w:effect w:val="none"/>
    </w:rPr>
  </w:style>
  <w:style w:type="paragraph" w:styleId="NormalWeb">
    <w:name w:val="Normal (Web)"/>
    <w:basedOn w:val="Normal"/>
    <w:uiPriority w:val="99"/>
    <w:unhideWhenUsed/>
    <w:rsid w:val="004B0C2A"/>
    <w:pPr>
      <w:spacing w:before="100" w:beforeAutospacing="1" w:after="100" w:afterAutospacing="1" w:line="240" w:lineRule="auto"/>
      <w:jc w:val="left"/>
    </w:pPr>
    <w:rPr>
      <w:rFonts w:ascii="Times New Roman" w:hAnsi="Times New Roman"/>
      <w:spacing w:val="0"/>
      <w:kern w:val="0"/>
      <w:sz w:val="24"/>
      <w:szCs w:val="24"/>
    </w:rPr>
  </w:style>
  <w:style w:type="paragraph" w:styleId="NoSpacing">
    <w:name w:val="No Spacing"/>
    <w:uiPriority w:val="1"/>
    <w:qFormat/>
    <w:rsid w:val="00D806E6"/>
    <w:pPr>
      <w:jc w:val="both"/>
    </w:pPr>
    <w:rPr>
      <w:rFonts w:ascii="Arial Narrow" w:hAnsi="Arial Narrow"/>
      <w:spacing w:val="-2"/>
      <w:kern w:val="22"/>
      <w:sz w:val="22"/>
      <w:szCs w:val="22"/>
    </w:rPr>
  </w:style>
  <w:style w:type="paragraph" w:styleId="DocumentMap">
    <w:name w:val="Document Map"/>
    <w:basedOn w:val="Normal"/>
    <w:link w:val="DocumentMapChar"/>
    <w:uiPriority w:val="99"/>
    <w:semiHidden/>
    <w:unhideWhenUsed/>
    <w:rsid w:val="005672E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72E3"/>
    <w:rPr>
      <w:rFonts w:ascii="Tahoma" w:hAnsi="Tahoma" w:cs="Tahoma"/>
      <w:spacing w:val="-2"/>
      <w:kern w:val="22"/>
      <w:sz w:val="16"/>
      <w:szCs w:val="16"/>
      <w:lang w:eastAsia="en-AU"/>
    </w:rPr>
  </w:style>
  <w:style w:type="paragraph" w:styleId="TOCHeading">
    <w:name w:val="TOC Heading"/>
    <w:basedOn w:val="Heading1"/>
    <w:next w:val="Normal"/>
    <w:uiPriority w:val="39"/>
    <w:unhideWhenUsed/>
    <w:qFormat/>
    <w:rsid w:val="005672E3"/>
    <w:pPr>
      <w:outlineLvl w:val="9"/>
    </w:pPr>
    <w:rPr>
      <w:spacing w:val="0"/>
      <w:kern w:val="0"/>
      <w:lang w:val="en-US" w:eastAsia="en-US"/>
    </w:rPr>
  </w:style>
  <w:style w:type="paragraph" w:styleId="TOC2">
    <w:name w:val="toc 2"/>
    <w:basedOn w:val="Normal"/>
    <w:next w:val="Normal"/>
    <w:autoRedefine/>
    <w:uiPriority w:val="39"/>
    <w:unhideWhenUsed/>
    <w:qFormat/>
    <w:rsid w:val="005672E3"/>
    <w:pPr>
      <w:spacing w:before="0" w:after="100" w:line="276" w:lineRule="auto"/>
      <w:ind w:left="220"/>
      <w:jc w:val="left"/>
    </w:pPr>
    <w:rPr>
      <w:rFonts w:ascii="Calibri" w:hAnsi="Calibri"/>
      <w:spacing w:val="0"/>
      <w:kern w:val="0"/>
      <w:lang w:val="en-US" w:eastAsia="en-US"/>
    </w:rPr>
  </w:style>
  <w:style w:type="paragraph" w:styleId="TOC1">
    <w:name w:val="toc 1"/>
    <w:basedOn w:val="Normal"/>
    <w:next w:val="Normal"/>
    <w:autoRedefine/>
    <w:uiPriority w:val="39"/>
    <w:unhideWhenUsed/>
    <w:qFormat/>
    <w:rsid w:val="005672E3"/>
    <w:pPr>
      <w:spacing w:before="0" w:after="100" w:line="276" w:lineRule="auto"/>
      <w:jc w:val="left"/>
    </w:pPr>
    <w:rPr>
      <w:rFonts w:ascii="Calibri" w:hAnsi="Calibri"/>
      <w:spacing w:val="0"/>
      <w:kern w:val="0"/>
      <w:lang w:val="en-US" w:eastAsia="en-US"/>
    </w:rPr>
  </w:style>
  <w:style w:type="paragraph" w:styleId="TOC3">
    <w:name w:val="toc 3"/>
    <w:basedOn w:val="Normal"/>
    <w:next w:val="Normal"/>
    <w:autoRedefine/>
    <w:uiPriority w:val="39"/>
    <w:unhideWhenUsed/>
    <w:qFormat/>
    <w:rsid w:val="005672E3"/>
    <w:pPr>
      <w:spacing w:before="0" w:after="100" w:line="276" w:lineRule="auto"/>
      <w:ind w:left="440"/>
      <w:jc w:val="left"/>
    </w:pPr>
    <w:rPr>
      <w:rFonts w:ascii="Calibri" w:hAnsi="Calibri"/>
      <w:spacing w:val="0"/>
      <w:kern w:val="0"/>
      <w:lang w:val="en-US" w:eastAsia="en-US"/>
    </w:rPr>
  </w:style>
  <w:style w:type="paragraph" w:styleId="Title">
    <w:name w:val="Title"/>
    <w:aliases w:val="Body paragraph"/>
    <w:basedOn w:val="Normal"/>
    <w:next w:val="Normal"/>
    <w:link w:val="TitleChar"/>
    <w:uiPriority w:val="10"/>
    <w:qFormat/>
    <w:rsid w:val="00E5674B"/>
    <w:pPr>
      <w:spacing w:before="220" w:after="220"/>
    </w:pPr>
  </w:style>
  <w:style w:type="character" w:customStyle="1" w:styleId="TitleChar">
    <w:name w:val="Title Char"/>
    <w:aliases w:val="Body paragraph Char"/>
    <w:basedOn w:val="DefaultParagraphFont"/>
    <w:link w:val="Title"/>
    <w:uiPriority w:val="10"/>
    <w:rsid w:val="00E5674B"/>
    <w:rPr>
      <w:rFonts w:ascii="Arial Narrow" w:hAnsi="Arial Narrow" w:cs="Times New Roman"/>
      <w:spacing w:val="-2"/>
      <w:kern w:val="22"/>
      <w:lang w:eastAsia="en-AU"/>
    </w:rPr>
  </w:style>
  <w:style w:type="paragraph" w:styleId="Subtitle">
    <w:name w:val="Subtitle"/>
    <w:aliases w:val="Bullet point"/>
    <w:basedOn w:val="ListParagraph"/>
    <w:next w:val="Normal"/>
    <w:link w:val="SubtitleChar"/>
    <w:uiPriority w:val="99"/>
    <w:qFormat/>
    <w:rsid w:val="00E5674B"/>
    <w:pPr>
      <w:numPr>
        <w:numId w:val="1"/>
      </w:numPr>
      <w:spacing w:before="220" w:after="220"/>
    </w:pPr>
  </w:style>
  <w:style w:type="character" w:customStyle="1" w:styleId="SubtitleChar">
    <w:name w:val="Subtitle Char"/>
    <w:aliases w:val="Bullet point Char"/>
    <w:basedOn w:val="DefaultParagraphFont"/>
    <w:link w:val="Subtitle"/>
    <w:uiPriority w:val="99"/>
    <w:rsid w:val="00E5674B"/>
    <w:rPr>
      <w:rFonts w:ascii="Arial Narrow" w:hAnsi="Arial Narrow"/>
      <w:spacing w:val="-2"/>
      <w:kern w:val="22"/>
      <w:sz w:val="22"/>
      <w:szCs w:val="22"/>
    </w:rPr>
  </w:style>
  <w:style w:type="character" w:styleId="SubtleEmphasis">
    <w:name w:val="Subtle Emphasis"/>
    <w:aliases w:val="Table wording"/>
    <w:uiPriority w:val="19"/>
    <w:qFormat/>
    <w:rsid w:val="00374A23"/>
    <w:rPr>
      <w:rFonts w:cs="Calibri"/>
      <w:color w:val="000000"/>
      <w:spacing w:val="0"/>
      <w:kern w:val="0"/>
      <w:lang w:eastAsia="en-US"/>
    </w:rPr>
  </w:style>
  <w:style w:type="character" w:styleId="Emphasis">
    <w:name w:val="Emphasis"/>
    <w:aliases w:val="Table heading"/>
    <w:uiPriority w:val="20"/>
    <w:qFormat/>
    <w:rsid w:val="00374A23"/>
    <w:rPr>
      <w:rFonts w:cs="Calibri"/>
      <w:b/>
      <w:bCs/>
      <w:color w:val="000000"/>
    </w:rPr>
  </w:style>
  <w:style w:type="character" w:styleId="IntenseEmphasis">
    <w:name w:val="Intense Emphasis"/>
    <w:aliases w:val="Table heading centre"/>
    <w:uiPriority w:val="21"/>
    <w:qFormat/>
    <w:rsid w:val="00374A23"/>
    <w:rPr>
      <w:rFonts w:cs="Calibri"/>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o paragraph"/>
    <w:qFormat/>
    <w:rsid w:val="003B235A"/>
    <w:pPr>
      <w:spacing w:before="120" w:after="120" w:line="280" w:lineRule="exact"/>
      <w:jc w:val="both"/>
    </w:pPr>
    <w:rPr>
      <w:rFonts w:ascii="Arial Narrow" w:hAnsi="Arial Narrow"/>
      <w:spacing w:val="-2"/>
      <w:kern w:val="22"/>
      <w:sz w:val="22"/>
      <w:szCs w:val="22"/>
    </w:rPr>
  </w:style>
  <w:style w:type="paragraph" w:styleId="Heading1">
    <w:name w:val="heading 1"/>
    <w:basedOn w:val="Normal"/>
    <w:next w:val="Normal"/>
    <w:link w:val="Heading1Char"/>
    <w:uiPriority w:val="9"/>
    <w:qFormat/>
    <w:rsid w:val="005672E3"/>
    <w:pPr>
      <w:spacing w:before="220" w:after="220" w:line="276" w:lineRule="auto"/>
      <w:jc w:val="left"/>
      <w:outlineLvl w:val="0"/>
    </w:pPr>
    <w:rPr>
      <w:b/>
      <w:sz w:val="28"/>
      <w:szCs w:val="28"/>
    </w:rPr>
  </w:style>
  <w:style w:type="paragraph" w:styleId="Heading2">
    <w:name w:val="heading 2"/>
    <w:basedOn w:val="Normal"/>
    <w:next w:val="Normal"/>
    <w:link w:val="Heading2Char"/>
    <w:uiPriority w:val="9"/>
    <w:unhideWhenUsed/>
    <w:qFormat/>
    <w:rsid w:val="005672E3"/>
    <w:pPr>
      <w:spacing w:before="0" w:after="200" w:line="276" w:lineRule="auto"/>
      <w:jc w:val="left"/>
      <w:outlineLvl w:val="1"/>
    </w:pPr>
    <w:rPr>
      <w:b/>
    </w:rPr>
  </w:style>
  <w:style w:type="paragraph" w:styleId="Heading3">
    <w:name w:val="heading 3"/>
    <w:basedOn w:val="Normal"/>
    <w:next w:val="Normal"/>
    <w:link w:val="Heading3Char"/>
    <w:uiPriority w:val="9"/>
    <w:unhideWhenUsed/>
    <w:qFormat/>
    <w:rsid w:val="00374A23"/>
    <w:pPr>
      <w:spacing w:before="220" w:after="2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E3"/>
    <w:rPr>
      <w:rFonts w:ascii="Arial Narrow" w:hAnsi="Arial Narrow" w:cs="Times New Roman"/>
      <w:b/>
      <w:spacing w:val="-2"/>
      <w:kern w:val="22"/>
      <w:sz w:val="28"/>
      <w:szCs w:val="28"/>
      <w:lang w:eastAsia="en-AU"/>
    </w:rPr>
  </w:style>
  <w:style w:type="character" w:customStyle="1" w:styleId="Heading2Char">
    <w:name w:val="Heading 2 Char"/>
    <w:basedOn w:val="DefaultParagraphFont"/>
    <w:link w:val="Heading2"/>
    <w:uiPriority w:val="9"/>
    <w:rsid w:val="005672E3"/>
    <w:rPr>
      <w:rFonts w:ascii="Arial Narrow" w:hAnsi="Arial Narrow" w:cs="Times New Roman"/>
      <w:b/>
      <w:spacing w:val="-2"/>
      <w:kern w:val="22"/>
      <w:lang w:eastAsia="en-AU"/>
    </w:rPr>
  </w:style>
  <w:style w:type="character" w:customStyle="1" w:styleId="Heading3Char">
    <w:name w:val="Heading 3 Char"/>
    <w:basedOn w:val="DefaultParagraphFont"/>
    <w:link w:val="Heading3"/>
    <w:uiPriority w:val="9"/>
    <w:rsid w:val="00374A23"/>
    <w:rPr>
      <w:rFonts w:ascii="Arial Narrow" w:hAnsi="Arial Narrow" w:cs="Times New Roman"/>
      <w:spacing w:val="-2"/>
      <w:kern w:val="22"/>
      <w:u w:val="single"/>
      <w:lang w:eastAsia="en-AU"/>
    </w:rPr>
  </w:style>
  <w:style w:type="table" w:customStyle="1" w:styleId="TCorp">
    <w:name w:val="TCorp"/>
    <w:basedOn w:val="TableNormal"/>
    <w:uiPriority w:val="99"/>
    <w:qFormat/>
    <w:rsid w:val="009855FA"/>
    <w:pPr>
      <w:jc w:val="center"/>
    </w:pPr>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rPr>
        <w:rFonts w:ascii="Arial Narrow" w:hAnsi="Arial Narrow"/>
        <w:b/>
        <w:color w:val="FFFFFF"/>
        <w:sz w:val="22"/>
      </w:rPr>
      <w:tblPr/>
      <w:tcPr>
        <w:shd w:val="clear" w:color="auto" w:fill="BACFF8"/>
      </w:tcPr>
    </w:tblStylePr>
    <w:tblStylePr w:type="band2Vert">
      <w:pPr>
        <w:jc w:val="center"/>
      </w:pPr>
      <w:tblPr/>
      <w:tcPr>
        <w:vAlign w:val="top"/>
      </w:tcPr>
    </w:tblStylePr>
    <w:tblStylePr w:type="band2Horz">
      <w:pPr>
        <w:jc w:val="center"/>
      </w:pPr>
      <w:tblPr/>
      <w:tcPr>
        <w:shd w:val="clear" w:color="auto" w:fill="EBF2FA"/>
        <w:vAlign w:val="top"/>
      </w:tcPr>
    </w:tblStylePr>
  </w:style>
  <w:style w:type="table" w:styleId="TableGrid">
    <w:name w:val="Table Grid"/>
    <w:basedOn w:val="TableNormal"/>
    <w:uiPriority w:val="59"/>
    <w:rsid w:val="001967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23937"/>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023937"/>
    <w:rPr>
      <w:rFonts w:ascii="Arial Narrow" w:hAnsi="Arial Narrow" w:cs="Times New Roman"/>
      <w:spacing w:val="-2"/>
      <w:kern w:val="22"/>
      <w:lang w:eastAsia="en-AU"/>
    </w:rPr>
  </w:style>
  <w:style w:type="paragraph" w:styleId="Footer">
    <w:name w:val="footer"/>
    <w:basedOn w:val="Normal"/>
    <w:link w:val="FooterChar"/>
    <w:uiPriority w:val="99"/>
    <w:unhideWhenUsed/>
    <w:rsid w:val="000239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3937"/>
    <w:rPr>
      <w:rFonts w:ascii="Arial Narrow" w:hAnsi="Arial Narrow" w:cs="Times New Roman"/>
      <w:spacing w:val="-2"/>
      <w:kern w:val="22"/>
      <w:lang w:eastAsia="en-AU"/>
    </w:rPr>
  </w:style>
  <w:style w:type="paragraph" w:styleId="ListParagraph">
    <w:name w:val="List Paragraph"/>
    <w:basedOn w:val="Normal"/>
    <w:uiPriority w:val="34"/>
    <w:qFormat/>
    <w:rsid w:val="00156809"/>
    <w:pPr>
      <w:ind w:left="720"/>
      <w:contextualSpacing/>
    </w:pPr>
  </w:style>
  <w:style w:type="paragraph" w:customStyle="1" w:styleId="Default">
    <w:name w:val="Default"/>
    <w:rsid w:val="006723E9"/>
    <w:pPr>
      <w:autoSpaceDE w:val="0"/>
      <w:autoSpaceDN w:val="0"/>
      <w:adjustRightInd w:val="0"/>
    </w:pPr>
    <w:rPr>
      <w:rFonts w:ascii="Arial" w:eastAsia="Calibri" w:hAnsi="Arial" w:cs="Arial"/>
      <w:color w:val="000000"/>
      <w:sz w:val="24"/>
      <w:szCs w:val="24"/>
      <w:lang w:eastAsia="en-US"/>
    </w:rPr>
  </w:style>
  <w:style w:type="paragraph" w:customStyle="1" w:styleId="chapterno">
    <w:name w:val="chapterno"/>
    <w:basedOn w:val="Normal"/>
    <w:rsid w:val="006723E9"/>
    <w:pPr>
      <w:spacing w:before="0" w:after="0" w:line="240" w:lineRule="auto"/>
      <w:jc w:val="left"/>
    </w:pPr>
    <w:rPr>
      <w:rFonts w:ascii="Times New Roman" w:hAnsi="Times New Roman"/>
      <w:spacing w:val="0"/>
      <w:kern w:val="0"/>
      <w:sz w:val="24"/>
      <w:szCs w:val="24"/>
    </w:rPr>
  </w:style>
  <w:style w:type="paragraph" w:styleId="EndnoteText">
    <w:name w:val="endnote text"/>
    <w:basedOn w:val="Normal"/>
    <w:link w:val="EndnoteTextChar"/>
    <w:uiPriority w:val="99"/>
    <w:semiHidden/>
    <w:unhideWhenUsed/>
    <w:rsid w:val="007869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8696A"/>
    <w:rPr>
      <w:rFonts w:ascii="Arial Narrow" w:hAnsi="Arial Narrow" w:cs="Times New Roman"/>
      <w:spacing w:val="-2"/>
      <w:kern w:val="22"/>
      <w:sz w:val="20"/>
      <w:szCs w:val="20"/>
      <w:lang w:eastAsia="en-AU"/>
    </w:rPr>
  </w:style>
  <w:style w:type="character" w:styleId="EndnoteReference">
    <w:name w:val="endnote reference"/>
    <w:basedOn w:val="DefaultParagraphFont"/>
    <w:uiPriority w:val="99"/>
    <w:semiHidden/>
    <w:unhideWhenUsed/>
    <w:rsid w:val="0078696A"/>
    <w:rPr>
      <w:vertAlign w:val="superscript"/>
    </w:rPr>
  </w:style>
  <w:style w:type="paragraph" w:styleId="BalloonText">
    <w:name w:val="Balloon Text"/>
    <w:basedOn w:val="Normal"/>
    <w:link w:val="BalloonTextChar"/>
    <w:uiPriority w:val="99"/>
    <w:semiHidden/>
    <w:unhideWhenUsed/>
    <w:rsid w:val="007869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6A"/>
    <w:rPr>
      <w:rFonts w:ascii="Tahoma" w:hAnsi="Tahoma" w:cs="Tahoma"/>
      <w:spacing w:val="-2"/>
      <w:kern w:val="22"/>
      <w:sz w:val="16"/>
      <w:szCs w:val="16"/>
      <w:lang w:eastAsia="en-AU"/>
    </w:rPr>
  </w:style>
  <w:style w:type="paragraph" w:styleId="FootnoteText">
    <w:name w:val="footnote text"/>
    <w:basedOn w:val="Normal"/>
    <w:link w:val="FootnoteTextChar"/>
    <w:uiPriority w:val="99"/>
    <w:unhideWhenUsed/>
    <w:rsid w:val="004B0C2A"/>
    <w:pPr>
      <w:spacing w:before="0" w:after="0" w:line="240" w:lineRule="auto"/>
      <w:jc w:val="left"/>
    </w:pPr>
    <w:rPr>
      <w:rFonts w:ascii="Calibri" w:eastAsia="Calibri" w:hAnsi="Calibri"/>
      <w:spacing w:val="0"/>
      <w:kern w:val="0"/>
      <w:sz w:val="20"/>
      <w:szCs w:val="20"/>
      <w:lang w:eastAsia="en-US"/>
    </w:rPr>
  </w:style>
  <w:style w:type="character" w:customStyle="1" w:styleId="FootnoteTextChar">
    <w:name w:val="Footnote Text Char"/>
    <w:basedOn w:val="DefaultParagraphFont"/>
    <w:link w:val="FootnoteText"/>
    <w:uiPriority w:val="99"/>
    <w:rsid w:val="004B0C2A"/>
    <w:rPr>
      <w:rFonts w:eastAsia="Calibri"/>
      <w:sz w:val="20"/>
      <w:szCs w:val="20"/>
    </w:rPr>
  </w:style>
  <w:style w:type="character" w:styleId="FootnoteReference">
    <w:name w:val="footnote reference"/>
    <w:basedOn w:val="DefaultParagraphFont"/>
    <w:uiPriority w:val="99"/>
    <w:semiHidden/>
    <w:unhideWhenUsed/>
    <w:rsid w:val="004B0C2A"/>
    <w:rPr>
      <w:vertAlign w:val="superscript"/>
    </w:rPr>
  </w:style>
  <w:style w:type="character" w:styleId="Hyperlink">
    <w:name w:val="Hyperlink"/>
    <w:basedOn w:val="DefaultParagraphFont"/>
    <w:uiPriority w:val="99"/>
    <w:unhideWhenUsed/>
    <w:rsid w:val="004B0C2A"/>
    <w:rPr>
      <w:strike w:val="0"/>
      <w:dstrike w:val="0"/>
      <w:color w:val="CD4900"/>
      <w:sz w:val="18"/>
      <w:szCs w:val="18"/>
      <w:u w:val="none"/>
      <w:effect w:val="none"/>
    </w:rPr>
  </w:style>
  <w:style w:type="paragraph" w:styleId="NormalWeb">
    <w:name w:val="Normal (Web)"/>
    <w:basedOn w:val="Normal"/>
    <w:uiPriority w:val="99"/>
    <w:unhideWhenUsed/>
    <w:rsid w:val="004B0C2A"/>
    <w:pPr>
      <w:spacing w:before="100" w:beforeAutospacing="1" w:after="100" w:afterAutospacing="1" w:line="240" w:lineRule="auto"/>
      <w:jc w:val="left"/>
    </w:pPr>
    <w:rPr>
      <w:rFonts w:ascii="Times New Roman" w:hAnsi="Times New Roman"/>
      <w:spacing w:val="0"/>
      <w:kern w:val="0"/>
      <w:sz w:val="24"/>
      <w:szCs w:val="24"/>
    </w:rPr>
  </w:style>
  <w:style w:type="paragraph" w:styleId="NoSpacing">
    <w:name w:val="No Spacing"/>
    <w:uiPriority w:val="1"/>
    <w:qFormat/>
    <w:rsid w:val="00D806E6"/>
    <w:pPr>
      <w:jc w:val="both"/>
    </w:pPr>
    <w:rPr>
      <w:rFonts w:ascii="Arial Narrow" w:hAnsi="Arial Narrow"/>
      <w:spacing w:val="-2"/>
      <w:kern w:val="22"/>
      <w:sz w:val="22"/>
      <w:szCs w:val="22"/>
    </w:rPr>
  </w:style>
  <w:style w:type="paragraph" w:styleId="DocumentMap">
    <w:name w:val="Document Map"/>
    <w:basedOn w:val="Normal"/>
    <w:link w:val="DocumentMapChar"/>
    <w:uiPriority w:val="99"/>
    <w:semiHidden/>
    <w:unhideWhenUsed/>
    <w:rsid w:val="005672E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72E3"/>
    <w:rPr>
      <w:rFonts w:ascii="Tahoma" w:hAnsi="Tahoma" w:cs="Tahoma"/>
      <w:spacing w:val="-2"/>
      <w:kern w:val="22"/>
      <w:sz w:val="16"/>
      <w:szCs w:val="16"/>
      <w:lang w:eastAsia="en-AU"/>
    </w:rPr>
  </w:style>
  <w:style w:type="paragraph" w:styleId="TOCHeading">
    <w:name w:val="TOC Heading"/>
    <w:basedOn w:val="Heading1"/>
    <w:next w:val="Normal"/>
    <w:uiPriority w:val="39"/>
    <w:unhideWhenUsed/>
    <w:qFormat/>
    <w:rsid w:val="005672E3"/>
    <w:pPr>
      <w:outlineLvl w:val="9"/>
    </w:pPr>
    <w:rPr>
      <w:spacing w:val="0"/>
      <w:kern w:val="0"/>
      <w:lang w:val="en-US" w:eastAsia="en-US"/>
    </w:rPr>
  </w:style>
  <w:style w:type="paragraph" w:styleId="TOC2">
    <w:name w:val="toc 2"/>
    <w:basedOn w:val="Normal"/>
    <w:next w:val="Normal"/>
    <w:autoRedefine/>
    <w:uiPriority w:val="39"/>
    <w:unhideWhenUsed/>
    <w:qFormat/>
    <w:rsid w:val="005672E3"/>
    <w:pPr>
      <w:spacing w:before="0" w:after="100" w:line="276" w:lineRule="auto"/>
      <w:ind w:left="220"/>
      <w:jc w:val="left"/>
    </w:pPr>
    <w:rPr>
      <w:rFonts w:ascii="Calibri" w:hAnsi="Calibri"/>
      <w:spacing w:val="0"/>
      <w:kern w:val="0"/>
      <w:lang w:val="en-US" w:eastAsia="en-US"/>
    </w:rPr>
  </w:style>
  <w:style w:type="paragraph" w:styleId="TOC1">
    <w:name w:val="toc 1"/>
    <w:basedOn w:val="Normal"/>
    <w:next w:val="Normal"/>
    <w:autoRedefine/>
    <w:uiPriority w:val="39"/>
    <w:unhideWhenUsed/>
    <w:qFormat/>
    <w:rsid w:val="005672E3"/>
    <w:pPr>
      <w:spacing w:before="0" w:after="100" w:line="276" w:lineRule="auto"/>
      <w:jc w:val="left"/>
    </w:pPr>
    <w:rPr>
      <w:rFonts w:ascii="Calibri" w:hAnsi="Calibri"/>
      <w:spacing w:val="0"/>
      <w:kern w:val="0"/>
      <w:lang w:val="en-US" w:eastAsia="en-US"/>
    </w:rPr>
  </w:style>
  <w:style w:type="paragraph" w:styleId="TOC3">
    <w:name w:val="toc 3"/>
    <w:basedOn w:val="Normal"/>
    <w:next w:val="Normal"/>
    <w:autoRedefine/>
    <w:uiPriority w:val="39"/>
    <w:unhideWhenUsed/>
    <w:qFormat/>
    <w:rsid w:val="005672E3"/>
    <w:pPr>
      <w:spacing w:before="0" w:after="100" w:line="276" w:lineRule="auto"/>
      <w:ind w:left="440"/>
      <w:jc w:val="left"/>
    </w:pPr>
    <w:rPr>
      <w:rFonts w:ascii="Calibri" w:hAnsi="Calibri"/>
      <w:spacing w:val="0"/>
      <w:kern w:val="0"/>
      <w:lang w:val="en-US" w:eastAsia="en-US"/>
    </w:rPr>
  </w:style>
  <w:style w:type="paragraph" w:styleId="Title">
    <w:name w:val="Title"/>
    <w:aliases w:val="Body paragraph"/>
    <w:basedOn w:val="Normal"/>
    <w:next w:val="Normal"/>
    <w:link w:val="TitleChar"/>
    <w:uiPriority w:val="10"/>
    <w:qFormat/>
    <w:rsid w:val="00E5674B"/>
    <w:pPr>
      <w:spacing w:before="220" w:after="220"/>
    </w:pPr>
  </w:style>
  <w:style w:type="character" w:customStyle="1" w:styleId="TitleChar">
    <w:name w:val="Title Char"/>
    <w:aliases w:val="Body paragraph Char"/>
    <w:basedOn w:val="DefaultParagraphFont"/>
    <w:link w:val="Title"/>
    <w:uiPriority w:val="10"/>
    <w:rsid w:val="00E5674B"/>
    <w:rPr>
      <w:rFonts w:ascii="Arial Narrow" w:hAnsi="Arial Narrow" w:cs="Times New Roman"/>
      <w:spacing w:val="-2"/>
      <w:kern w:val="22"/>
      <w:lang w:eastAsia="en-AU"/>
    </w:rPr>
  </w:style>
  <w:style w:type="paragraph" w:styleId="Subtitle">
    <w:name w:val="Subtitle"/>
    <w:aliases w:val="Bullet point"/>
    <w:basedOn w:val="ListParagraph"/>
    <w:next w:val="Normal"/>
    <w:link w:val="SubtitleChar"/>
    <w:uiPriority w:val="99"/>
    <w:qFormat/>
    <w:rsid w:val="00E5674B"/>
    <w:pPr>
      <w:numPr>
        <w:numId w:val="1"/>
      </w:numPr>
      <w:spacing w:before="220" w:after="220"/>
    </w:pPr>
  </w:style>
  <w:style w:type="character" w:customStyle="1" w:styleId="SubtitleChar">
    <w:name w:val="Subtitle Char"/>
    <w:aliases w:val="Bullet point Char"/>
    <w:basedOn w:val="DefaultParagraphFont"/>
    <w:link w:val="Subtitle"/>
    <w:uiPriority w:val="99"/>
    <w:rsid w:val="00E5674B"/>
    <w:rPr>
      <w:rFonts w:ascii="Arial Narrow" w:hAnsi="Arial Narrow"/>
      <w:spacing w:val="-2"/>
      <w:kern w:val="22"/>
      <w:sz w:val="22"/>
      <w:szCs w:val="22"/>
    </w:rPr>
  </w:style>
  <w:style w:type="character" w:styleId="SubtleEmphasis">
    <w:name w:val="Subtle Emphasis"/>
    <w:aliases w:val="Table wording"/>
    <w:uiPriority w:val="19"/>
    <w:qFormat/>
    <w:rsid w:val="00374A23"/>
    <w:rPr>
      <w:rFonts w:cs="Calibri"/>
      <w:color w:val="000000"/>
      <w:spacing w:val="0"/>
      <w:kern w:val="0"/>
      <w:lang w:eastAsia="en-US"/>
    </w:rPr>
  </w:style>
  <w:style w:type="character" w:styleId="Emphasis">
    <w:name w:val="Emphasis"/>
    <w:aliases w:val="Table heading"/>
    <w:uiPriority w:val="20"/>
    <w:qFormat/>
    <w:rsid w:val="00374A23"/>
    <w:rPr>
      <w:rFonts w:cs="Calibri"/>
      <w:b/>
      <w:bCs/>
      <w:color w:val="000000"/>
    </w:rPr>
  </w:style>
  <w:style w:type="character" w:styleId="IntenseEmphasis">
    <w:name w:val="Intense Emphasis"/>
    <w:aliases w:val="Table heading centre"/>
    <w:uiPriority w:val="21"/>
    <w:qFormat/>
    <w:rsid w:val="00374A23"/>
    <w:rPr>
      <w:rFonts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013">
      <w:bodyDiv w:val="1"/>
      <w:marLeft w:val="0"/>
      <w:marRight w:val="0"/>
      <w:marTop w:val="0"/>
      <w:marBottom w:val="0"/>
      <w:divBdr>
        <w:top w:val="none" w:sz="0" w:space="0" w:color="auto"/>
        <w:left w:val="none" w:sz="0" w:space="0" w:color="auto"/>
        <w:bottom w:val="none" w:sz="0" w:space="0" w:color="auto"/>
        <w:right w:val="none" w:sz="0" w:space="0" w:color="auto"/>
      </w:divBdr>
    </w:div>
    <w:div w:id="33114565">
      <w:bodyDiv w:val="1"/>
      <w:marLeft w:val="0"/>
      <w:marRight w:val="0"/>
      <w:marTop w:val="0"/>
      <w:marBottom w:val="0"/>
      <w:divBdr>
        <w:top w:val="none" w:sz="0" w:space="0" w:color="auto"/>
        <w:left w:val="none" w:sz="0" w:space="0" w:color="auto"/>
        <w:bottom w:val="none" w:sz="0" w:space="0" w:color="auto"/>
        <w:right w:val="none" w:sz="0" w:space="0" w:color="auto"/>
      </w:divBdr>
    </w:div>
    <w:div w:id="54283211">
      <w:bodyDiv w:val="1"/>
      <w:marLeft w:val="0"/>
      <w:marRight w:val="0"/>
      <w:marTop w:val="0"/>
      <w:marBottom w:val="0"/>
      <w:divBdr>
        <w:top w:val="none" w:sz="0" w:space="0" w:color="auto"/>
        <w:left w:val="none" w:sz="0" w:space="0" w:color="auto"/>
        <w:bottom w:val="none" w:sz="0" w:space="0" w:color="auto"/>
        <w:right w:val="none" w:sz="0" w:space="0" w:color="auto"/>
      </w:divBdr>
    </w:div>
    <w:div w:id="102893109">
      <w:bodyDiv w:val="1"/>
      <w:marLeft w:val="0"/>
      <w:marRight w:val="0"/>
      <w:marTop w:val="0"/>
      <w:marBottom w:val="0"/>
      <w:divBdr>
        <w:top w:val="none" w:sz="0" w:space="0" w:color="auto"/>
        <w:left w:val="none" w:sz="0" w:space="0" w:color="auto"/>
        <w:bottom w:val="none" w:sz="0" w:space="0" w:color="auto"/>
        <w:right w:val="none" w:sz="0" w:space="0" w:color="auto"/>
      </w:divBdr>
    </w:div>
    <w:div w:id="250896777">
      <w:bodyDiv w:val="1"/>
      <w:marLeft w:val="0"/>
      <w:marRight w:val="0"/>
      <w:marTop w:val="0"/>
      <w:marBottom w:val="0"/>
      <w:divBdr>
        <w:top w:val="none" w:sz="0" w:space="0" w:color="auto"/>
        <w:left w:val="none" w:sz="0" w:space="0" w:color="auto"/>
        <w:bottom w:val="none" w:sz="0" w:space="0" w:color="auto"/>
        <w:right w:val="none" w:sz="0" w:space="0" w:color="auto"/>
      </w:divBdr>
    </w:div>
    <w:div w:id="261453217">
      <w:bodyDiv w:val="1"/>
      <w:marLeft w:val="0"/>
      <w:marRight w:val="0"/>
      <w:marTop w:val="0"/>
      <w:marBottom w:val="0"/>
      <w:divBdr>
        <w:top w:val="none" w:sz="0" w:space="0" w:color="auto"/>
        <w:left w:val="none" w:sz="0" w:space="0" w:color="auto"/>
        <w:bottom w:val="none" w:sz="0" w:space="0" w:color="auto"/>
        <w:right w:val="none" w:sz="0" w:space="0" w:color="auto"/>
      </w:divBdr>
    </w:div>
    <w:div w:id="286281569">
      <w:bodyDiv w:val="1"/>
      <w:marLeft w:val="0"/>
      <w:marRight w:val="0"/>
      <w:marTop w:val="0"/>
      <w:marBottom w:val="0"/>
      <w:divBdr>
        <w:top w:val="none" w:sz="0" w:space="0" w:color="auto"/>
        <w:left w:val="none" w:sz="0" w:space="0" w:color="auto"/>
        <w:bottom w:val="none" w:sz="0" w:space="0" w:color="auto"/>
        <w:right w:val="none" w:sz="0" w:space="0" w:color="auto"/>
      </w:divBdr>
    </w:div>
    <w:div w:id="415710271">
      <w:bodyDiv w:val="1"/>
      <w:marLeft w:val="0"/>
      <w:marRight w:val="0"/>
      <w:marTop w:val="0"/>
      <w:marBottom w:val="0"/>
      <w:divBdr>
        <w:top w:val="none" w:sz="0" w:space="0" w:color="auto"/>
        <w:left w:val="none" w:sz="0" w:space="0" w:color="auto"/>
        <w:bottom w:val="none" w:sz="0" w:space="0" w:color="auto"/>
        <w:right w:val="none" w:sz="0" w:space="0" w:color="auto"/>
      </w:divBdr>
    </w:div>
    <w:div w:id="741215877">
      <w:bodyDiv w:val="1"/>
      <w:marLeft w:val="0"/>
      <w:marRight w:val="0"/>
      <w:marTop w:val="0"/>
      <w:marBottom w:val="0"/>
      <w:divBdr>
        <w:top w:val="none" w:sz="0" w:space="0" w:color="auto"/>
        <w:left w:val="none" w:sz="0" w:space="0" w:color="auto"/>
        <w:bottom w:val="none" w:sz="0" w:space="0" w:color="auto"/>
        <w:right w:val="none" w:sz="0" w:space="0" w:color="auto"/>
      </w:divBdr>
    </w:div>
    <w:div w:id="762264113">
      <w:bodyDiv w:val="1"/>
      <w:marLeft w:val="0"/>
      <w:marRight w:val="0"/>
      <w:marTop w:val="0"/>
      <w:marBottom w:val="0"/>
      <w:divBdr>
        <w:top w:val="none" w:sz="0" w:space="0" w:color="auto"/>
        <w:left w:val="none" w:sz="0" w:space="0" w:color="auto"/>
        <w:bottom w:val="none" w:sz="0" w:space="0" w:color="auto"/>
        <w:right w:val="none" w:sz="0" w:space="0" w:color="auto"/>
      </w:divBdr>
    </w:div>
    <w:div w:id="823352416">
      <w:bodyDiv w:val="1"/>
      <w:marLeft w:val="0"/>
      <w:marRight w:val="0"/>
      <w:marTop w:val="0"/>
      <w:marBottom w:val="0"/>
      <w:divBdr>
        <w:top w:val="none" w:sz="0" w:space="0" w:color="auto"/>
        <w:left w:val="none" w:sz="0" w:space="0" w:color="auto"/>
        <w:bottom w:val="none" w:sz="0" w:space="0" w:color="auto"/>
        <w:right w:val="none" w:sz="0" w:space="0" w:color="auto"/>
      </w:divBdr>
    </w:div>
    <w:div w:id="1020622353">
      <w:bodyDiv w:val="1"/>
      <w:marLeft w:val="0"/>
      <w:marRight w:val="0"/>
      <w:marTop w:val="0"/>
      <w:marBottom w:val="0"/>
      <w:divBdr>
        <w:top w:val="none" w:sz="0" w:space="0" w:color="auto"/>
        <w:left w:val="none" w:sz="0" w:space="0" w:color="auto"/>
        <w:bottom w:val="none" w:sz="0" w:space="0" w:color="auto"/>
        <w:right w:val="none" w:sz="0" w:space="0" w:color="auto"/>
      </w:divBdr>
    </w:div>
    <w:div w:id="1157766911">
      <w:bodyDiv w:val="1"/>
      <w:marLeft w:val="0"/>
      <w:marRight w:val="0"/>
      <w:marTop w:val="0"/>
      <w:marBottom w:val="0"/>
      <w:divBdr>
        <w:top w:val="none" w:sz="0" w:space="0" w:color="auto"/>
        <w:left w:val="none" w:sz="0" w:space="0" w:color="auto"/>
        <w:bottom w:val="none" w:sz="0" w:space="0" w:color="auto"/>
        <w:right w:val="none" w:sz="0" w:space="0" w:color="auto"/>
      </w:divBdr>
    </w:div>
    <w:div w:id="1365444865">
      <w:bodyDiv w:val="1"/>
      <w:marLeft w:val="0"/>
      <w:marRight w:val="0"/>
      <w:marTop w:val="0"/>
      <w:marBottom w:val="0"/>
      <w:divBdr>
        <w:top w:val="none" w:sz="0" w:space="0" w:color="auto"/>
        <w:left w:val="none" w:sz="0" w:space="0" w:color="auto"/>
        <w:bottom w:val="none" w:sz="0" w:space="0" w:color="auto"/>
        <w:right w:val="none" w:sz="0" w:space="0" w:color="auto"/>
      </w:divBdr>
    </w:div>
    <w:div w:id="1426995594">
      <w:bodyDiv w:val="1"/>
      <w:marLeft w:val="0"/>
      <w:marRight w:val="0"/>
      <w:marTop w:val="0"/>
      <w:marBottom w:val="0"/>
      <w:divBdr>
        <w:top w:val="none" w:sz="0" w:space="0" w:color="auto"/>
        <w:left w:val="none" w:sz="0" w:space="0" w:color="auto"/>
        <w:bottom w:val="none" w:sz="0" w:space="0" w:color="auto"/>
        <w:right w:val="none" w:sz="0" w:space="0" w:color="auto"/>
      </w:divBdr>
    </w:div>
    <w:div w:id="1462572545">
      <w:bodyDiv w:val="1"/>
      <w:marLeft w:val="0"/>
      <w:marRight w:val="0"/>
      <w:marTop w:val="0"/>
      <w:marBottom w:val="0"/>
      <w:divBdr>
        <w:top w:val="none" w:sz="0" w:space="0" w:color="auto"/>
        <w:left w:val="none" w:sz="0" w:space="0" w:color="auto"/>
        <w:bottom w:val="none" w:sz="0" w:space="0" w:color="auto"/>
        <w:right w:val="none" w:sz="0" w:space="0" w:color="auto"/>
      </w:divBdr>
    </w:div>
    <w:div w:id="1718121655">
      <w:bodyDiv w:val="1"/>
      <w:marLeft w:val="0"/>
      <w:marRight w:val="0"/>
      <w:marTop w:val="0"/>
      <w:marBottom w:val="0"/>
      <w:divBdr>
        <w:top w:val="none" w:sz="0" w:space="0" w:color="auto"/>
        <w:left w:val="none" w:sz="0" w:space="0" w:color="auto"/>
        <w:bottom w:val="none" w:sz="0" w:space="0" w:color="auto"/>
        <w:right w:val="none" w:sz="0" w:space="0" w:color="auto"/>
      </w:divBdr>
    </w:div>
    <w:div w:id="1724258026">
      <w:bodyDiv w:val="1"/>
      <w:marLeft w:val="0"/>
      <w:marRight w:val="0"/>
      <w:marTop w:val="0"/>
      <w:marBottom w:val="0"/>
      <w:divBdr>
        <w:top w:val="none" w:sz="0" w:space="0" w:color="auto"/>
        <w:left w:val="none" w:sz="0" w:space="0" w:color="auto"/>
        <w:bottom w:val="none" w:sz="0" w:space="0" w:color="auto"/>
        <w:right w:val="none" w:sz="0" w:space="0" w:color="auto"/>
      </w:divBdr>
    </w:div>
    <w:div w:id="1742747771">
      <w:bodyDiv w:val="1"/>
      <w:marLeft w:val="0"/>
      <w:marRight w:val="0"/>
      <w:marTop w:val="0"/>
      <w:marBottom w:val="0"/>
      <w:divBdr>
        <w:top w:val="none" w:sz="0" w:space="0" w:color="auto"/>
        <w:left w:val="none" w:sz="0" w:space="0" w:color="auto"/>
        <w:bottom w:val="none" w:sz="0" w:space="0" w:color="auto"/>
        <w:right w:val="none" w:sz="0" w:space="0" w:color="auto"/>
      </w:divBdr>
    </w:div>
    <w:div w:id="1818960638">
      <w:bodyDiv w:val="1"/>
      <w:marLeft w:val="0"/>
      <w:marRight w:val="0"/>
      <w:marTop w:val="0"/>
      <w:marBottom w:val="0"/>
      <w:divBdr>
        <w:top w:val="none" w:sz="0" w:space="0" w:color="auto"/>
        <w:left w:val="none" w:sz="0" w:space="0" w:color="auto"/>
        <w:bottom w:val="none" w:sz="0" w:space="0" w:color="auto"/>
        <w:right w:val="none" w:sz="0" w:space="0" w:color="auto"/>
      </w:divBdr>
    </w:div>
    <w:div w:id="2054645879">
      <w:bodyDiv w:val="1"/>
      <w:marLeft w:val="0"/>
      <w:marRight w:val="0"/>
      <w:marTop w:val="0"/>
      <w:marBottom w:val="0"/>
      <w:divBdr>
        <w:top w:val="none" w:sz="0" w:space="0" w:color="auto"/>
        <w:left w:val="none" w:sz="0" w:space="0" w:color="auto"/>
        <w:bottom w:val="none" w:sz="0" w:space="0" w:color="auto"/>
        <w:right w:val="none" w:sz="0" w:space="0" w:color="auto"/>
      </w:divBdr>
    </w:div>
    <w:div w:id="2121996722">
      <w:bodyDiv w:val="1"/>
      <w:marLeft w:val="0"/>
      <w:marRight w:val="0"/>
      <w:marTop w:val="0"/>
      <w:marBottom w:val="0"/>
      <w:divBdr>
        <w:top w:val="none" w:sz="0" w:space="0" w:color="auto"/>
        <w:left w:val="none" w:sz="0" w:space="0" w:color="auto"/>
        <w:bottom w:val="none" w:sz="0" w:space="0" w:color="auto"/>
        <w:right w:val="none" w:sz="0" w:space="0" w:color="auto"/>
      </w:divBdr>
    </w:div>
    <w:div w:id="2142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5.emf"/><Relationship Id="rId39" Type="http://schemas.openxmlformats.org/officeDocument/2006/relationships/hyperlink" Target="http://en.wikipedia.org/wiki/Interest" TargetMode="Externa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3.emf"/><Relationship Id="rId42" Type="http://schemas.openxmlformats.org/officeDocument/2006/relationships/hyperlink" Target="http://en.wikipedia.org/wiki/Amortization_(tax_law)"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33" Type="http://schemas.openxmlformats.org/officeDocument/2006/relationships/image" Target="media/image22.emf"/><Relationship Id="rId38" Type="http://schemas.openxmlformats.org/officeDocument/2006/relationships/hyperlink" Target="http://en.wikipedia.org/wiki/Profit_(accounti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8.emf"/><Relationship Id="rId41" Type="http://schemas.openxmlformats.org/officeDocument/2006/relationships/hyperlink" Target="http://en.wikipedia.org/wiki/Depreci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image" Target="media/image21.emf"/><Relationship Id="rId37" Type="http://schemas.openxmlformats.org/officeDocument/2006/relationships/hyperlink" Target="http://en.wikipedia.org/wiki/Acronym" TargetMode="External"/><Relationship Id="rId40" Type="http://schemas.openxmlformats.org/officeDocument/2006/relationships/hyperlink" Target="http://en.wikipedia.org/wiki/Taxes"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image" Target="media/image17.emf"/><Relationship Id="rId36" Type="http://schemas.openxmlformats.org/officeDocument/2006/relationships/hyperlink" Target="http://useconomy.about.com/od/glossary/g/Banking.htm"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0.emf"/><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hyperlink" Target="http://www.lanecove.nsw.gov.au/Council%20Services/Development%20Control/Development%20Controls/Contributions%20Plans/documents/SECTION94PLANinclamendmentsof160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17AB-3284-4312-9413-29B730C0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8610</Words>
  <Characters>49083</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NSW Treasury Corporation</Company>
  <LinksUpToDate>false</LinksUpToDate>
  <CharactersWithSpaces>57578</CharactersWithSpaces>
  <SharedDoc>false</SharedDoc>
  <HLinks>
    <vt:vector size="132" baseType="variant">
      <vt:variant>
        <vt:i4>1507380</vt:i4>
      </vt:variant>
      <vt:variant>
        <vt:i4>128</vt:i4>
      </vt:variant>
      <vt:variant>
        <vt:i4>0</vt:i4>
      </vt:variant>
      <vt:variant>
        <vt:i4>5</vt:i4>
      </vt:variant>
      <vt:variant>
        <vt:lpwstr/>
      </vt:variant>
      <vt:variant>
        <vt:lpwstr>_Toc326918032</vt:lpwstr>
      </vt:variant>
      <vt:variant>
        <vt:i4>1507380</vt:i4>
      </vt:variant>
      <vt:variant>
        <vt:i4>122</vt:i4>
      </vt:variant>
      <vt:variant>
        <vt:i4>0</vt:i4>
      </vt:variant>
      <vt:variant>
        <vt:i4>5</vt:i4>
      </vt:variant>
      <vt:variant>
        <vt:lpwstr/>
      </vt:variant>
      <vt:variant>
        <vt:lpwstr>_Toc326918031</vt:lpwstr>
      </vt:variant>
      <vt:variant>
        <vt:i4>1507380</vt:i4>
      </vt:variant>
      <vt:variant>
        <vt:i4>116</vt:i4>
      </vt:variant>
      <vt:variant>
        <vt:i4>0</vt:i4>
      </vt:variant>
      <vt:variant>
        <vt:i4>5</vt:i4>
      </vt:variant>
      <vt:variant>
        <vt:lpwstr/>
      </vt:variant>
      <vt:variant>
        <vt:lpwstr>_Toc326918030</vt:lpwstr>
      </vt:variant>
      <vt:variant>
        <vt:i4>1441844</vt:i4>
      </vt:variant>
      <vt:variant>
        <vt:i4>110</vt:i4>
      </vt:variant>
      <vt:variant>
        <vt:i4>0</vt:i4>
      </vt:variant>
      <vt:variant>
        <vt:i4>5</vt:i4>
      </vt:variant>
      <vt:variant>
        <vt:lpwstr/>
      </vt:variant>
      <vt:variant>
        <vt:lpwstr>_Toc326918029</vt:lpwstr>
      </vt:variant>
      <vt:variant>
        <vt:i4>1441844</vt:i4>
      </vt:variant>
      <vt:variant>
        <vt:i4>104</vt:i4>
      </vt:variant>
      <vt:variant>
        <vt:i4>0</vt:i4>
      </vt:variant>
      <vt:variant>
        <vt:i4>5</vt:i4>
      </vt:variant>
      <vt:variant>
        <vt:lpwstr/>
      </vt:variant>
      <vt:variant>
        <vt:lpwstr>_Toc326918028</vt:lpwstr>
      </vt:variant>
      <vt:variant>
        <vt:i4>1441844</vt:i4>
      </vt:variant>
      <vt:variant>
        <vt:i4>98</vt:i4>
      </vt:variant>
      <vt:variant>
        <vt:i4>0</vt:i4>
      </vt:variant>
      <vt:variant>
        <vt:i4>5</vt:i4>
      </vt:variant>
      <vt:variant>
        <vt:lpwstr/>
      </vt:variant>
      <vt:variant>
        <vt:lpwstr>_Toc326918027</vt:lpwstr>
      </vt:variant>
      <vt:variant>
        <vt:i4>1441844</vt:i4>
      </vt:variant>
      <vt:variant>
        <vt:i4>92</vt:i4>
      </vt:variant>
      <vt:variant>
        <vt:i4>0</vt:i4>
      </vt:variant>
      <vt:variant>
        <vt:i4>5</vt:i4>
      </vt:variant>
      <vt:variant>
        <vt:lpwstr/>
      </vt:variant>
      <vt:variant>
        <vt:lpwstr>_Toc326918026</vt:lpwstr>
      </vt:variant>
      <vt:variant>
        <vt:i4>1441844</vt:i4>
      </vt:variant>
      <vt:variant>
        <vt:i4>86</vt:i4>
      </vt:variant>
      <vt:variant>
        <vt:i4>0</vt:i4>
      </vt:variant>
      <vt:variant>
        <vt:i4>5</vt:i4>
      </vt:variant>
      <vt:variant>
        <vt:lpwstr/>
      </vt:variant>
      <vt:variant>
        <vt:lpwstr>_Toc326918025</vt:lpwstr>
      </vt:variant>
      <vt:variant>
        <vt:i4>1441844</vt:i4>
      </vt:variant>
      <vt:variant>
        <vt:i4>80</vt:i4>
      </vt:variant>
      <vt:variant>
        <vt:i4>0</vt:i4>
      </vt:variant>
      <vt:variant>
        <vt:i4>5</vt:i4>
      </vt:variant>
      <vt:variant>
        <vt:lpwstr/>
      </vt:variant>
      <vt:variant>
        <vt:lpwstr>_Toc326918024</vt:lpwstr>
      </vt:variant>
      <vt:variant>
        <vt:i4>1441844</vt:i4>
      </vt:variant>
      <vt:variant>
        <vt:i4>74</vt:i4>
      </vt:variant>
      <vt:variant>
        <vt:i4>0</vt:i4>
      </vt:variant>
      <vt:variant>
        <vt:i4>5</vt:i4>
      </vt:variant>
      <vt:variant>
        <vt:lpwstr/>
      </vt:variant>
      <vt:variant>
        <vt:lpwstr>_Toc326918023</vt:lpwstr>
      </vt:variant>
      <vt:variant>
        <vt:i4>1441844</vt:i4>
      </vt:variant>
      <vt:variant>
        <vt:i4>68</vt:i4>
      </vt:variant>
      <vt:variant>
        <vt:i4>0</vt:i4>
      </vt:variant>
      <vt:variant>
        <vt:i4>5</vt:i4>
      </vt:variant>
      <vt:variant>
        <vt:lpwstr/>
      </vt:variant>
      <vt:variant>
        <vt:lpwstr>_Toc326918022</vt:lpwstr>
      </vt:variant>
      <vt:variant>
        <vt:i4>1441844</vt:i4>
      </vt:variant>
      <vt:variant>
        <vt:i4>62</vt:i4>
      </vt:variant>
      <vt:variant>
        <vt:i4>0</vt:i4>
      </vt:variant>
      <vt:variant>
        <vt:i4>5</vt:i4>
      </vt:variant>
      <vt:variant>
        <vt:lpwstr/>
      </vt:variant>
      <vt:variant>
        <vt:lpwstr>_Toc326918021</vt:lpwstr>
      </vt:variant>
      <vt:variant>
        <vt:i4>1441844</vt:i4>
      </vt:variant>
      <vt:variant>
        <vt:i4>56</vt:i4>
      </vt:variant>
      <vt:variant>
        <vt:i4>0</vt:i4>
      </vt:variant>
      <vt:variant>
        <vt:i4>5</vt:i4>
      </vt:variant>
      <vt:variant>
        <vt:lpwstr/>
      </vt:variant>
      <vt:variant>
        <vt:lpwstr>_Toc326918020</vt:lpwstr>
      </vt:variant>
      <vt:variant>
        <vt:i4>1376308</vt:i4>
      </vt:variant>
      <vt:variant>
        <vt:i4>50</vt:i4>
      </vt:variant>
      <vt:variant>
        <vt:i4>0</vt:i4>
      </vt:variant>
      <vt:variant>
        <vt:i4>5</vt:i4>
      </vt:variant>
      <vt:variant>
        <vt:lpwstr/>
      </vt:variant>
      <vt:variant>
        <vt:lpwstr>_Toc326918019</vt:lpwstr>
      </vt:variant>
      <vt:variant>
        <vt:i4>1376308</vt:i4>
      </vt:variant>
      <vt:variant>
        <vt:i4>44</vt:i4>
      </vt:variant>
      <vt:variant>
        <vt:i4>0</vt:i4>
      </vt:variant>
      <vt:variant>
        <vt:i4>5</vt:i4>
      </vt:variant>
      <vt:variant>
        <vt:lpwstr/>
      </vt:variant>
      <vt:variant>
        <vt:lpwstr>_Toc326918018</vt:lpwstr>
      </vt:variant>
      <vt:variant>
        <vt:i4>1376308</vt:i4>
      </vt:variant>
      <vt:variant>
        <vt:i4>38</vt:i4>
      </vt:variant>
      <vt:variant>
        <vt:i4>0</vt:i4>
      </vt:variant>
      <vt:variant>
        <vt:i4>5</vt:i4>
      </vt:variant>
      <vt:variant>
        <vt:lpwstr/>
      </vt:variant>
      <vt:variant>
        <vt:lpwstr>_Toc326918017</vt:lpwstr>
      </vt:variant>
      <vt:variant>
        <vt:i4>1376308</vt:i4>
      </vt:variant>
      <vt:variant>
        <vt:i4>32</vt:i4>
      </vt:variant>
      <vt:variant>
        <vt:i4>0</vt:i4>
      </vt:variant>
      <vt:variant>
        <vt:i4>5</vt:i4>
      </vt:variant>
      <vt:variant>
        <vt:lpwstr/>
      </vt:variant>
      <vt:variant>
        <vt:lpwstr>_Toc326918016</vt:lpwstr>
      </vt:variant>
      <vt:variant>
        <vt:i4>1376308</vt:i4>
      </vt:variant>
      <vt:variant>
        <vt:i4>26</vt:i4>
      </vt:variant>
      <vt:variant>
        <vt:i4>0</vt:i4>
      </vt:variant>
      <vt:variant>
        <vt:i4>5</vt:i4>
      </vt:variant>
      <vt:variant>
        <vt:lpwstr/>
      </vt:variant>
      <vt:variant>
        <vt:lpwstr>_Toc326918015</vt:lpwstr>
      </vt:variant>
      <vt:variant>
        <vt:i4>1376308</vt:i4>
      </vt:variant>
      <vt:variant>
        <vt:i4>20</vt:i4>
      </vt:variant>
      <vt:variant>
        <vt:i4>0</vt:i4>
      </vt:variant>
      <vt:variant>
        <vt:i4>5</vt:i4>
      </vt:variant>
      <vt:variant>
        <vt:lpwstr/>
      </vt:variant>
      <vt:variant>
        <vt:lpwstr>_Toc326918014</vt:lpwstr>
      </vt:variant>
      <vt:variant>
        <vt:i4>1376308</vt:i4>
      </vt:variant>
      <vt:variant>
        <vt:i4>14</vt:i4>
      </vt:variant>
      <vt:variant>
        <vt:i4>0</vt:i4>
      </vt:variant>
      <vt:variant>
        <vt:i4>5</vt:i4>
      </vt:variant>
      <vt:variant>
        <vt:lpwstr/>
      </vt:variant>
      <vt:variant>
        <vt:lpwstr>_Toc326918013</vt:lpwstr>
      </vt:variant>
      <vt:variant>
        <vt:i4>1376308</vt:i4>
      </vt:variant>
      <vt:variant>
        <vt:i4>8</vt:i4>
      </vt:variant>
      <vt:variant>
        <vt:i4>0</vt:i4>
      </vt:variant>
      <vt:variant>
        <vt:i4>5</vt:i4>
      </vt:variant>
      <vt:variant>
        <vt:lpwstr/>
      </vt:variant>
      <vt:variant>
        <vt:lpwstr>_Toc326918012</vt:lpwstr>
      </vt:variant>
      <vt:variant>
        <vt:i4>1376308</vt:i4>
      </vt:variant>
      <vt:variant>
        <vt:i4>2</vt:i4>
      </vt:variant>
      <vt:variant>
        <vt:i4>0</vt:i4>
      </vt:variant>
      <vt:variant>
        <vt:i4>5</vt:i4>
      </vt:variant>
      <vt:variant>
        <vt:lpwstr/>
      </vt:variant>
      <vt:variant>
        <vt:lpwstr>_Toc326918011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AgnesC</dc:creator>
  <cp:lastModifiedBy>Gokgur, Pamela</cp:lastModifiedBy>
  <cp:revision>2</cp:revision>
  <cp:lastPrinted>2012-05-15T06:05:00Z</cp:lastPrinted>
  <dcterms:created xsi:type="dcterms:W3CDTF">2015-01-23T04:54:00Z</dcterms:created>
  <dcterms:modified xsi:type="dcterms:W3CDTF">2015-01-23T04:54:00Z</dcterms:modified>
</cp:coreProperties>
</file>