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EB" w:rsidRDefault="003D63EB">
      <w:pPr>
        <w:rPr>
          <w:noProof/>
          <w:lang w:eastAsia="en-AU"/>
        </w:rPr>
      </w:pPr>
      <w:bookmarkStart w:id="0" w:name="_GoBack"/>
      <w:bookmarkEnd w:id="0"/>
    </w:p>
    <w:p w:rsidR="00887CEC" w:rsidRDefault="00C81CEA" w:rsidP="00887CEC">
      <w:pPr>
        <w:jc w:val="center"/>
        <w:rPr>
          <w:rFonts w:cs="Arial"/>
          <w:b/>
          <w:i/>
          <w:color w:val="1F4E79"/>
          <w:sz w:val="56"/>
          <w:szCs w:val="56"/>
        </w:rPr>
      </w:pPr>
      <w:r>
        <w:rPr>
          <w:b/>
          <w:noProof/>
          <w:sz w:val="52"/>
          <w:szCs w:val="52"/>
          <w:lang w:eastAsia="en-AU"/>
        </w:rPr>
        <w:drawing>
          <wp:anchor distT="0" distB="0" distL="114300" distR="114300" simplePos="0" relativeHeight="251671040" behindDoc="0" locked="0" layoutInCell="1" allowOverlap="1" wp14:anchorId="59A312A8" wp14:editId="600FA3D4">
            <wp:simplePos x="0" y="0"/>
            <wp:positionH relativeFrom="column">
              <wp:posOffset>3444875</wp:posOffset>
            </wp:positionH>
            <wp:positionV relativeFrom="paragraph">
              <wp:posOffset>98425</wp:posOffset>
            </wp:positionV>
            <wp:extent cx="1477645" cy="1477645"/>
            <wp:effectExtent l="0" t="0" r="8255" b="825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Logo - 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CEC" w:rsidRDefault="00887CEC" w:rsidP="00887CEC">
      <w:pPr>
        <w:jc w:val="center"/>
        <w:rPr>
          <w:rFonts w:cs="Arial"/>
          <w:b/>
          <w:i/>
          <w:color w:val="1F4E79"/>
          <w:sz w:val="56"/>
          <w:szCs w:val="56"/>
        </w:rPr>
      </w:pPr>
    </w:p>
    <w:p w:rsidR="00887CEC" w:rsidRDefault="00887CEC" w:rsidP="00887CEC">
      <w:pPr>
        <w:jc w:val="center"/>
        <w:rPr>
          <w:rFonts w:cs="Arial"/>
          <w:b/>
          <w:i/>
          <w:color w:val="1F4E79"/>
          <w:sz w:val="56"/>
          <w:szCs w:val="56"/>
        </w:rPr>
      </w:pPr>
    </w:p>
    <w:p w:rsidR="00327082" w:rsidRDefault="00327082" w:rsidP="00327082">
      <w:pPr>
        <w:pStyle w:val="Title"/>
        <w:pBdr>
          <w:bottom w:val="none" w:sz="0" w:space="0" w:color="auto"/>
        </w:pBdr>
        <w:jc w:val="center"/>
      </w:pPr>
    </w:p>
    <w:p w:rsidR="00887CEC" w:rsidRPr="00327082" w:rsidRDefault="00AF2613" w:rsidP="00327082">
      <w:pPr>
        <w:pStyle w:val="Title"/>
        <w:pBdr>
          <w:bottom w:val="none" w:sz="0" w:space="0" w:color="auto"/>
        </w:pBdr>
        <w:jc w:val="center"/>
        <w:rPr>
          <w:sz w:val="56"/>
        </w:rPr>
      </w:pPr>
      <w:r>
        <w:rPr>
          <w:sz w:val="56"/>
        </w:rPr>
        <w:t>Council Improvement Plan</w:t>
      </w:r>
    </w:p>
    <w:p w:rsidR="004F76DC" w:rsidRPr="004F76DC" w:rsidRDefault="004F76DC" w:rsidP="004F76DC"/>
    <w:p w:rsidR="00887CEC" w:rsidRPr="00327082" w:rsidRDefault="00887CEC" w:rsidP="00327082">
      <w:pPr>
        <w:pStyle w:val="Title"/>
        <w:pBdr>
          <w:bottom w:val="none" w:sz="0" w:space="0" w:color="auto"/>
        </w:pBdr>
        <w:jc w:val="center"/>
        <w:rPr>
          <w:sz w:val="36"/>
          <w:szCs w:val="32"/>
        </w:rPr>
      </w:pPr>
    </w:p>
    <w:p w:rsidR="00887CEC" w:rsidRPr="00327082" w:rsidRDefault="00AE429E" w:rsidP="00327082">
      <w:pPr>
        <w:pStyle w:val="Title"/>
        <w:pBdr>
          <w:bottom w:val="none" w:sz="0" w:space="0" w:color="auto"/>
        </w:pBdr>
        <w:jc w:val="center"/>
        <w:rPr>
          <w:sz w:val="56"/>
        </w:rPr>
      </w:pPr>
      <w:r>
        <w:rPr>
          <w:sz w:val="32"/>
          <w:szCs w:val="28"/>
        </w:rPr>
        <w:t>As at 30</w:t>
      </w:r>
      <w:r w:rsidRPr="00AE429E"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September</w:t>
      </w:r>
      <w:r w:rsidR="00887CEC" w:rsidRPr="00327082">
        <w:rPr>
          <w:sz w:val="32"/>
          <w:szCs w:val="28"/>
        </w:rPr>
        <w:t xml:space="preserve"> 201</w:t>
      </w:r>
      <w:r w:rsidR="00AF2613">
        <w:rPr>
          <w:sz w:val="32"/>
          <w:szCs w:val="28"/>
        </w:rPr>
        <w:t>5</w:t>
      </w:r>
    </w:p>
    <w:p w:rsidR="00327082" w:rsidRDefault="00327082">
      <w:pPr>
        <w:rPr>
          <w:noProof/>
          <w:lang w:eastAsia="en-AU"/>
        </w:rPr>
      </w:pPr>
    </w:p>
    <w:p w:rsidR="00DF6748" w:rsidRDefault="00DF6748">
      <w:pPr>
        <w:rPr>
          <w:noProof/>
          <w:lang w:eastAsia="en-AU"/>
        </w:rPr>
      </w:pPr>
    </w:p>
    <w:p w:rsidR="00DF6748" w:rsidRDefault="00DF6748">
      <w:pPr>
        <w:rPr>
          <w:noProof/>
          <w:lang w:eastAsia="en-AU"/>
        </w:rPr>
      </w:pPr>
    </w:p>
    <w:p w:rsidR="00C81CEA" w:rsidRDefault="00327082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4112" behindDoc="0" locked="0" layoutInCell="1" allowOverlap="1" wp14:anchorId="6B45DB44" wp14:editId="71F9C094">
            <wp:simplePos x="0" y="0"/>
            <wp:positionH relativeFrom="column">
              <wp:posOffset>5463540</wp:posOffset>
            </wp:positionH>
            <wp:positionV relativeFrom="paragraph">
              <wp:posOffset>321945</wp:posOffset>
            </wp:positionV>
            <wp:extent cx="1866900" cy="1400175"/>
            <wp:effectExtent l="0" t="0" r="0" b="9525"/>
            <wp:wrapNone/>
            <wp:docPr id="79" name="Picture 79" descr="P:\Tourism Images\2013 Ultimate bush experience photos\gum bend lake 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:\Tourism Images\2013 Ultimate bush experience photos\gum bend lake s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old" w:hAnsi="Arial Bold" w:cs="Arial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76160" behindDoc="0" locked="0" layoutInCell="1" allowOverlap="1" wp14:anchorId="2FDBC97C" wp14:editId="1DCD626E">
            <wp:simplePos x="0" y="0"/>
            <wp:positionH relativeFrom="column">
              <wp:posOffset>7377430</wp:posOffset>
            </wp:positionH>
            <wp:positionV relativeFrom="paragraph">
              <wp:posOffset>321945</wp:posOffset>
            </wp:positionV>
            <wp:extent cx="1771650" cy="1390650"/>
            <wp:effectExtent l="0" t="0" r="0" b="0"/>
            <wp:wrapNone/>
            <wp:docPr id="80" name="Picture 80" descr="P:\Tourism Images\2013 Ultimate bush experience photos\Tottenham Gymkh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:\Tourism Images\2013 Ultimate bush experience photos\Tottenham Gymkh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73088" behindDoc="0" locked="0" layoutInCell="1" allowOverlap="1" wp14:anchorId="0720CDA6" wp14:editId="107DFF72">
            <wp:simplePos x="0" y="0"/>
            <wp:positionH relativeFrom="column">
              <wp:posOffset>3568065</wp:posOffset>
            </wp:positionH>
            <wp:positionV relativeFrom="paragraph">
              <wp:posOffset>321945</wp:posOffset>
            </wp:positionV>
            <wp:extent cx="1854200" cy="1390650"/>
            <wp:effectExtent l="0" t="0" r="0" b="0"/>
            <wp:wrapNone/>
            <wp:docPr id="78" name="Picture 78" descr="P:\Tourism Images\2013 Ultimate bush experience photos\DSCF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:\Tourism Images\2013 Ultimate bush experience photos\DSCF23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3EB" w:rsidRDefault="00327082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5136" behindDoc="0" locked="0" layoutInCell="1" allowOverlap="1" wp14:anchorId="2B0F1A38" wp14:editId="7D6D968E">
            <wp:simplePos x="0" y="0"/>
            <wp:positionH relativeFrom="column">
              <wp:posOffset>-194310</wp:posOffset>
            </wp:positionH>
            <wp:positionV relativeFrom="paragraph">
              <wp:posOffset>2540</wp:posOffset>
            </wp:positionV>
            <wp:extent cx="1838325" cy="1379855"/>
            <wp:effectExtent l="0" t="0" r="9525" b="0"/>
            <wp:wrapNone/>
            <wp:docPr id="76" name="Picture 76" descr="P:\Tourism Images\2013 Ultimate bush experience photos\harv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:\Tourism Images\2013 Ultimate bush experience photos\harves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72064" behindDoc="0" locked="0" layoutInCell="1" allowOverlap="1" wp14:anchorId="3531993A" wp14:editId="4AD01053">
            <wp:simplePos x="0" y="0"/>
            <wp:positionH relativeFrom="column">
              <wp:posOffset>1691640</wp:posOffset>
            </wp:positionH>
            <wp:positionV relativeFrom="paragraph">
              <wp:posOffset>2540</wp:posOffset>
            </wp:positionV>
            <wp:extent cx="1841500" cy="1381125"/>
            <wp:effectExtent l="0" t="0" r="6350" b="9525"/>
            <wp:wrapNone/>
            <wp:docPr id="77" name="Picture 77" descr="P:\Tourism Images\2013 Ultimate bush experience photos\DSC0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:\Tourism Images\2013 Ultimate bush experience photos\DSC00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3EB">
        <w:rPr>
          <w:noProof/>
          <w:lang w:eastAsia="en-AU"/>
        </w:rPr>
        <w:br w:type="page"/>
      </w:r>
    </w:p>
    <w:p w:rsidR="00FB381D" w:rsidRPr="00D6013A" w:rsidRDefault="00FB381D" w:rsidP="00FB381D">
      <w:pPr>
        <w:pStyle w:val="Heading2"/>
      </w:pPr>
      <w:r>
        <w:lastRenderedPageBreak/>
        <w:t>IMPROVEMENT ACTION PLAN</w:t>
      </w:r>
      <w:r w:rsidRPr="00D6013A">
        <w:t xml:space="preserve"> </w:t>
      </w:r>
      <w:r>
        <w:t>2015-16 YEAR</w:t>
      </w:r>
    </w:p>
    <w:p w:rsidR="00FB381D" w:rsidRDefault="00FB381D" w:rsidP="00FB381D">
      <w:pPr>
        <w:ind w:right="1292"/>
        <w:rPr>
          <w:szCs w:val="24"/>
        </w:rPr>
      </w:pPr>
      <w:r w:rsidRPr="00FC37FA">
        <w:rPr>
          <w:szCs w:val="24"/>
        </w:rPr>
        <w:t>Th</w:t>
      </w:r>
      <w:r>
        <w:rPr>
          <w:szCs w:val="24"/>
        </w:rPr>
        <w:t xml:space="preserve">is section summarises the key improvement actions that will be </w:t>
      </w:r>
      <w:r w:rsidR="005147CB">
        <w:rPr>
          <w:szCs w:val="24"/>
        </w:rPr>
        <w:t xml:space="preserve">commenced and/or </w:t>
      </w:r>
      <w:r>
        <w:rPr>
          <w:szCs w:val="24"/>
        </w:rPr>
        <w:t xml:space="preserve">achieved in the first year of this Plan.  </w:t>
      </w:r>
    </w:p>
    <w:tbl>
      <w:tblPr>
        <w:tblW w:w="0" w:type="auto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000080"/>
        <w:tblLook w:val="01E0" w:firstRow="1" w:lastRow="1" w:firstColumn="1" w:lastColumn="1" w:noHBand="0" w:noVBand="0"/>
      </w:tblPr>
      <w:tblGrid>
        <w:gridCol w:w="851"/>
        <w:gridCol w:w="7413"/>
        <w:gridCol w:w="1622"/>
        <w:gridCol w:w="77"/>
        <w:gridCol w:w="3359"/>
        <w:gridCol w:w="111"/>
      </w:tblGrid>
      <w:tr w:rsidR="00B658AD" w:rsidRPr="00116578" w:rsidTr="000117FF">
        <w:trPr>
          <w:gridAfter w:val="1"/>
          <w:wAfter w:w="111" w:type="dxa"/>
          <w:trHeight w:val="897"/>
          <w:tblHeader/>
        </w:trPr>
        <w:tc>
          <w:tcPr>
            <w:tcW w:w="851" w:type="dxa"/>
            <w:tcBorders>
              <w:bottom w:val="single" w:sz="24" w:space="0" w:color="FFFFFF"/>
            </w:tcBorders>
            <w:shd w:val="clear" w:color="auto" w:fill="984806" w:themeFill="accent6" w:themeFillShade="80"/>
          </w:tcPr>
          <w:p w:rsidR="00B658AD" w:rsidRPr="00116578" w:rsidRDefault="00B658AD" w:rsidP="006D5C64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116578">
              <w:rPr>
                <w:rFonts w:ascii="Calibri" w:hAnsi="Calibri"/>
                <w:color w:val="FFFFFF"/>
                <w:sz w:val="20"/>
                <w:szCs w:val="20"/>
              </w:rPr>
              <w:t>No</w:t>
            </w:r>
          </w:p>
        </w:tc>
        <w:tc>
          <w:tcPr>
            <w:tcW w:w="7413" w:type="dxa"/>
            <w:tcBorders>
              <w:bottom w:val="single" w:sz="24" w:space="0" w:color="FFFFFF"/>
            </w:tcBorders>
            <w:shd w:val="clear" w:color="auto" w:fill="984806" w:themeFill="accent6" w:themeFillShade="80"/>
          </w:tcPr>
          <w:p w:rsidR="00B658AD" w:rsidRPr="00116578" w:rsidRDefault="00B658AD" w:rsidP="006D5C64">
            <w:pPr>
              <w:ind w:right="72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ACTIONS</w:t>
            </w:r>
          </w:p>
        </w:tc>
        <w:tc>
          <w:tcPr>
            <w:tcW w:w="1699" w:type="dxa"/>
            <w:gridSpan w:val="2"/>
            <w:tcBorders>
              <w:bottom w:val="single" w:sz="24" w:space="0" w:color="FFFFFF"/>
            </w:tcBorders>
            <w:shd w:val="clear" w:color="auto" w:fill="984806" w:themeFill="accent6" w:themeFillShade="80"/>
          </w:tcPr>
          <w:p w:rsidR="00B658AD" w:rsidRPr="00116578" w:rsidRDefault="00FB381D" w:rsidP="00FB381D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359" w:type="dxa"/>
            <w:tcBorders>
              <w:bottom w:val="single" w:sz="24" w:space="0" w:color="FFFFFF"/>
            </w:tcBorders>
            <w:shd w:val="clear" w:color="auto" w:fill="984806" w:themeFill="accent6" w:themeFillShade="80"/>
          </w:tcPr>
          <w:p w:rsidR="00B658AD" w:rsidRPr="00B658AD" w:rsidRDefault="00B658AD" w:rsidP="00B658AD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LINK TO CSP</w:t>
            </w:r>
          </w:p>
        </w:tc>
      </w:tr>
      <w:tr w:rsidR="00B658AD" w:rsidRPr="00116578" w:rsidTr="000117FF">
        <w:trPr>
          <w:gridAfter w:val="1"/>
          <w:wAfter w:w="111" w:type="dxa"/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FB381D" w:rsidP="00FB38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413" w:type="dxa"/>
            <w:shd w:val="clear" w:color="auto" w:fill="E7E1D5"/>
          </w:tcPr>
          <w:p w:rsidR="00B658AD" w:rsidRPr="005D2E69" w:rsidRDefault="00B658AD" w:rsidP="008362F0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Apply for a special rate variation of 33% over 4 years</w:t>
            </w:r>
          </w:p>
        </w:tc>
        <w:tc>
          <w:tcPr>
            <w:tcW w:w="1699" w:type="dxa"/>
            <w:gridSpan w:val="2"/>
            <w:shd w:val="clear" w:color="auto" w:fill="E7E1D5"/>
          </w:tcPr>
          <w:p w:rsidR="00B658AD" w:rsidRPr="005D2E69" w:rsidRDefault="007D0415" w:rsidP="008362F0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By February 2016 for 1 July 2016</w:t>
            </w:r>
            <w:r w:rsidR="00B658AD" w:rsidRPr="005D2E69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3359" w:type="dxa"/>
            <w:shd w:val="clear" w:color="auto" w:fill="E7E1D5"/>
          </w:tcPr>
          <w:p w:rsidR="00B658AD" w:rsidRPr="00B658AD" w:rsidRDefault="00B658AD" w:rsidP="008362F0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Income shown in LTFP</w:t>
            </w:r>
            <w:r w:rsidR="004F4D8F">
              <w:rPr>
                <w:rFonts w:ascii="Calibri" w:hAnsi="Calibri" w:cs="Arial"/>
                <w:sz w:val="22"/>
              </w:rPr>
              <w:t xml:space="preserve"> from 2016/17</w:t>
            </w:r>
          </w:p>
        </w:tc>
      </w:tr>
      <w:tr w:rsidR="00B658AD" w:rsidRPr="00116578" w:rsidTr="000117FF">
        <w:trPr>
          <w:gridAfter w:val="1"/>
          <w:wAfter w:w="111" w:type="dxa"/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7811B9">
            <w:pPr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413" w:type="dxa"/>
            <w:shd w:val="clear" w:color="auto" w:fill="E7E1D5"/>
          </w:tcPr>
          <w:p w:rsidR="000117FF" w:rsidRPr="000117FF" w:rsidRDefault="00B658AD" w:rsidP="00D7760A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Develop and adopt a Section 94A Contributions Plan</w:t>
            </w:r>
          </w:p>
        </w:tc>
        <w:tc>
          <w:tcPr>
            <w:tcW w:w="1699" w:type="dxa"/>
            <w:gridSpan w:val="2"/>
            <w:shd w:val="clear" w:color="auto" w:fill="E7E1D5"/>
          </w:tcPr>
          <w:p w:rsidR="00B658AD" w:rsidRPr="00D7760A" w:rsidRDefault="00D7760A" w:rsidP="00D7760A">
            <w:pPr>
              <w:spacing w:after="0" w:line="240" w:lineRule="auto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Completed</w:t>
            </w:r>
          </w:p>
        </w:tc>
        <w:tc>
          <w:tcPr>
            <w:tcW w:w="3359" w:type="dxa"/>
            <w:shd w:val="clear" w:color="auto" w:fill="E7E1D5"/>
          </w:tcPr>
          <w:p w:rsidR="00B658AD" w:rsidRPr="00B658AD" w:rsidRDefault="00B658AD" w:rsidP="007811B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Income shown in LTFP</w:t>
            </w:r>
            <w:r w:rsidR="004F4D8F">
              <w:rPr>
                <w:rFonts w:ascii="Calibri" w:hAnsi="Calibri" w:cs="Arial"/>
                <w:sz w:val="22"/>
              </w:rPr>
              <w:t xml:space="preserve"> from 2015/16</w:t>
            </w:r>
          </w:p>
        </w:tc>
      </w:tr>
      <w:tr w:rsidR="00B658AD" w:rsidRPr="00116578" w:rsidTr="000117FF">
        <w:trPr>
          <w:gridAfter w:val="1"/>
          <w:wAfter w:w="111" w:type="dxa"/>
          <w:trHeight w:val="669"/>
        </w:trPr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335749">
            <w:pPr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Default="00B658AD" w:rsidP="00335749">
            <w:pPr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Examine assets not required for operations such as housing, plant, commercial premises, land, etc. and utilise sale income for asset renewal and reducing infrastructure backlog.</w:t>
            </w:r>
          </w:p>
          <w:p w:rsidR="000117FF" w:rsidRPr="000117FF" w:rsidRDefault="000117FF" w:rsidP="00335749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Default="00D7760A" w:rsidP="00D7760A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0117FF">
              <w:rPr>
                <w:rFonts w:ascii="Calibri" w:hAnsi="Calibri" w:cs="Arial"/>
                <w:b/>
                <w:sz w:val="22"/>
              </w:rPr>
              <w:t>Commenced</w:t>
            </w:r>
            <w:r w:rsidRPr="005D2E69">
              <w:rPr>
                <w:rFonts w:ascii="Calibri" w:hAnsi="Calibri" w:cs="Arial"/>
                <w:sz w:val="22"/>
              </w:rPr>
              <w:t xml:space="preserve"> </w:t>
            </w:r>
          </w:p>
          <w:p w:rsidR="00D7760A" w:rsidRDefault="00D7760A" w:rsidP="00D7760A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 houses currently on market. 1 res. lot under offer.</w:t>
            </w:r>
          </w:p>
          <w:p w:rsidR="00D7760A" w:rsidRPr="005D2E69" w:rsidRDefault="00D7760A" w:rsidP="00D7760A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Medical centre under offer</w:t>
            </w:r>
          </w:p>
        </w:tc>
        <w:tc>
          <w:tcPr>
            <w:tcW w:w="33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B658AD" w:rsidRDefault="00B658AD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LTFP allows for sale of 3 houses and all remaining Council land in its industrial and residential subdivisions. Other assets to be identified not included at this time.</w:t>
            </w:r>
          </w:p>
        </w:tc>
      </w:tr>
      <w:tr w:rsidR="00B658AD" w:rsidRPr="00116578" w:rsidTr="000117FF">
        <w:trPr>
          <w:gridAfter w:val="1"/>
          <w:wAfter w:w="111" w:type="dxa"/>
          <w:trHeight w:val="669"/>
        </w:trPr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335749">
            <w:pPr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Default="00B658AD" w:rsidP="00335749">
            <w:pPr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Reduction of donations budget for community groups, schools, organisations and individuals to $16,000 p.a.</w:t>
            </w:r>
          </w:p>
          <w:p w:rsidR="000117FF" w:rsidRPr="000117FF" w:rsidRDefault="000117FF" w:rsidP="00335749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D7760A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D7760A">
              <w:rPr>
                <w:rFonts w:ascii="Calibri" w:hAnsi="Calibri" w:cs="Arial"/>
                <w:b/>
                <w:sz w:val="22"/>
              </w:rPr>
              <w:t>Completed</w:t>
            </w:r>
          </w:p>
        </w:tc>
        <w:tc>
          <w:tcPr>
            <w:tcW w:w="33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B658AD" w:rsidRDefault="00B658AD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$50,000 reduction in 2015/16 and a further $50,000 reduction thereafter has been included in LTFP</w:t>
            </w:r>
          </w:p>
        </w:tc>
      </w:tr>
      <w:tr w:rsidR="00B658AD" w:rsidRPr="00116578" w:rsidTr="000117FF">
        <w:trPr>
          <w:gridAfter w:val="1"/>
          <w:wAfter w:w="111" w:type="dxa"/>
          <w:trHeight w:val="669"/>
        </w:trPr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335749">
            <w:pPr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7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335749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Develop, in conjunction with staff, an Enterprise Risk Management Plan</w:t>
            </w:r>
          </w:p>
        </w:tc>
        <w:tc>
          <w:tcPr>
            <w:tcW w:w="169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D7760A" w:rsidRDefault="00D7760A" w:rsidP="00335749">
            <w:pPr>
              <w:spacing w:after="0" w:line="240" w:lineRule="auto"/>
              <w:rPr>
                <w:rFonts w:ascii="Calibri" w:hAnsi="Calibri" w:cs="Arial"/>
                <w:b/>
                <w:sz w:val="22"/>
              </w:rPr>
            </w:pPr>
            <w:r w:rsidRPr="00D7760A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3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B658AD" w:rsidRDefault="00B658AD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Recommendation of Better Practice Review</w:t>
            </w:r>
          </w:p>
        </w:tc>
      </w:tr>
      <w:tr w:rsidR="00B658AD" w:rsidRPr="00116578" w:rsidTr="000117FF">
        <w:trPr>
          <w:gridAfter w:val="1"/>
          <w:wAfter w:w="111" w:type="dxa"/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FA4F53">
            <w:pPr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7413" w:type="dxa"/>
            <w:shd w:val="clear" w:color="auto" w:fill="E7E1D5"/>
          </w:tcPr>
          <w:p w:rsidR="00B658AD" w:rsidRPr="005D2E69" w:rsidRDefault="00B658AD" w:rsidP="008362F0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Engage an independent Internal Auditor to prepare an internal audit plan from the Enterprise Risk Management Plan and undertake internal audit function.</w:t>
            </w:r>
          </w:p>
        </w:tc>
        <w:tc>
          <w:tcPr>
            <w:tcW w:w="1699" w:type="dxa"/>
            <w:gridSpan w:val="2"/>
            <w:shd w:val="clear" w:color="auto" w:fill="E7E1D5"/>
          </w:tcPr>
          <w:p w:rsidR="00B658AD" w:rsidRPr="005D2E69" w:rsidRDefault="00D7760A" w:rsidP="008362F0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D7760A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359" w:type="dxa"/>
            <w:shd w:val="clear" w:color="auto" w:fill="E7E1D5"/>
          </w:tcPr>
          <w:p w:rsidR="00B658AD" w:rsidRPr="00B658AD" w:rsidRDefault="00B658AD" w:rsidP="008362F0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Engagement of Internal Auditor budgeted in LTFP from 2015/16</w:t>
            </w:r>
          </w:p>
        </w:tc>
      </w:tr>
      <w:tr w:rsidR="00B658AD" w:rsidRPr="00116578" w:rsidTr="00047151">
        <w:trPr>
          <w:gridAfter w:val="1"/>
          <w:wAfter w:w="111" w:type="dxa"/>
          <w:trHeight w:val="684"/>
        </w:trPr>
        <w:tc>
          <w:tcPr>
            <w:tcW w:w="851" w:type="dxa"/>
            <w:shd w:val="clear" w:color="auto" w:fill="E7E1D5"/>
          </w:tcPr>
          <w:p w:rsidR="00B658AD" w:rsidRPr="005D2E69" w:rsidRDefault="00B658AD" w:rsidP="00023939">
            <w:pPr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7413" w:type="dxa"/>
            <w:shd w:val="clear" w:color="auto" w:fill="E7E1D5"/>
          </w:tcPr>
          <w:p w:rsidR="00B658AD" w:rsidRDefault="00B658AD" w:rsidP="00B658AD">
            <w:pPr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Review organisation structure and workfor</w:t>
            </w:r>
            <w:r w:rsidR="00047151">
              <w:rPr>
                <w:rFonts w:ascii="Calibri" w:hAnsi="Calibri" w:cs="Arial"/>
                <w:sz w:val="22"/>
              </w:rPr>
              <w:t>ce strategy following review of s</w:t>
            </w:r>
            <w:r w:rsidRPr="005D2E69">
              <w:rPr>
                <w:rFonts w:ascii="Calibri" w:hAnsi="Calibri" w:cs="Arial"/>
                <w:sz w:val="22"/>
              </w:rPr>
              <w:t>ervice levels to determine if staff and skill</w:t>
            </w:r>
            <w:r>
              <w:rPr>
                <w:rFonts w:ascii="Calibri" w:hAnsi="Calibri" w:cs="Arial"/>
                <w:sz w:val="22"/>
              </w:rPr>
              <w:t xml:space="preserve"> levels</w:t>
            </w:r>
            <w:r w:rsidRPr="005D2E69">
              <w:rPr>
                <w:rFonts w:ascii="Calibri" w:hAnsi="Calibri" w:cs="Arial"/>
                <w:sz w:val="22"/>
              </w:rPr>
              <w:t xml:space="preserve"> are appropriate</w:t>
            </w:r>
            <w:r w:rsidR="00047151">
              <w:rPr>
                <w:rFonts w:ascii="Calibri" w:hAnsi="Calibri" w:cs="Arial"/>
                <w:sz w:val="22"/>
              </w:rPr>
              <w:t>.</w:t>
            </w:r>
          </w:p>
          <w:p w:rsidR="002A1888" w:rsidRPr="005D2E69" w:rsidRDefault="002A1888" w:rsidP="00B658AD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E7E1D5"/>
          </w:tcPr>
          <w:p w:rsidR="00B658AD" w:rsidRPr="005D2E69" w:rsidRDefault="00B658AD" w:rsidP="0002393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By December 2016</w:t>
            </w:r>
          </w:p>
        </w:tc>
        <w:tc>
          <w:tcPr>
            <w:tcW w:w="3359" w:type="dxa"/>
            <w:shd w:val="clear" w:color="auto" w:fill="E7E1D5"/>
          </w:tcPr>
          <w:p w:rsidR="00B658AD" w:rsidRPr="00B658AD" w:rsidRDefault="00B658AD" w:rsidP="004503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To be included after service </w:t>
            </w:r>
            <w:r w:rsidR="004F4D8F">
              <w:rPr>
                <w:rFonts w:ascii="Calibri" w:hAnsi="Calibri" w:cs="Arial"/>
                <w:sz w:val="22"/>
              </w:rPr>
              <w:t>level review and after next Council election</w:t>
            </w:r>
          </w:p>
        </w:tc>
      </w:tr>
      <w:tr w:rsidR="00B658AD" w:rsidRPr="00116578" w:rsidTr="000117FF">
        <w:trPr>
          <w:gridAfter w:val="1"/>
          <w:wAfter w:w="111" w:type="dxa"/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lastRenderedPageBreak/>
              <w:t>8</w:t>
            </w:r>
          </w:p>
        </w:tc>
        <w:tc>
          <w:tcPr>
            <w:tcW w:w="7413" w:type="dxa"/>
            <w:shd w:val="clear" w:color="auto" w:fill="E7E1D5"/>
          </w:tcPr>
          <w:p w:rsidR="00B658AD" w:rsidRPr="005D2E69" w:rsidRDefault="00B658AD" w:rsidP="004F4D8F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 xml:space="preserve">Prepare and implement an Economic Development Plan to increase investment, employment and population. Construct </w:t>
            </w:r>
            <w:r w:rsidR="004F4D8F">
              <w:rPr>
                <w:rFonts w:ascii="Calibri" w:hAnsi="Calibri" w:cs="Arial"/>
                <w:sz w:val="22"/>
              </w:rPr>
              <w:t xml:space="preserve">Jockey’s Garden </w:t>
            </w:r>
            <w:r w:rsidR="00C26313">
              <w:rPr>
                <w:rFonts w:ascii="Calibri" w:hAnsi="Calibri" w:cs="Arial"/>
                <w:sz w:val="22"/>
              </w:rPr>
              <w:t>Memorial.</w:t>
            </w:r>
          </w:p>
        </w:tc>
        <w:tc>
          <w:tcPr>
            <w:tcW w:w="1699" w:type="dxa"/>
            <w:gridSpan w:val="2"/>
            <w:shd w:val="clear" w:color="auto" w:fill="E7E1D5"/>
          </w:tcPr>
          <w:p w:rsidR="00B658AD" w:rsidRPr="005D2E69" w:rsidRDefault="00D7760A" w:rsidP="0002393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D7760A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359" w:type="dxa"/>
            <w:shd w:val="clear" w:color="auto" w:fill="E7E1D5"/>
          </w:tcPr>
          <w:p w:rsidR="00B658AD" w:rsidRPr="00B658AD" w:rsidRDefault="004F4D8F" w:rsidP="004F4D8F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Funds allowed in LTFP 2015/16 and 2016/17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7413" w:type="dxa"/>
            <w:shd w:val="clear" w:color="auto" w:fill="E7E1D5"/>
          </w:tcPr>
          <w:p w:rsidR="00B658AD" w:rsidRPr="005D2E69" w:rsidRDefault="00B658AD" w:rsidP="00B0251D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Engage Micromex Pty ltd to undertake a customer satisfaction survey to assess satisfaction and importance of services provided by LSC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B658AD" w:rsidP="005147CB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 xml:space="preserve">By </w:t>
            </w:r>
            <w:r w:rsidR="005147CB">
              <w:rPr>
                <w:rFonts w:ascii="Calibri" w:hAnsi="Calibri" w:cs="Arial"/>
                <w:sz w:val="22"/>
              </w:rPr>
              <w:t>June</w:t>
            </w:r>
            <w:r w:rsidRPr="005D2E69">
              <w:rPr>
                <w:rFonts w:ascii="Calibri" w:hAnsi="Calibri" w:cs="Arial"/>
                <w:sz w:val="22"/>
              </w:rPr>
              <w:t xml:space="preserve"> 2016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4F4D8F" w:rsidP="004F4D8F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Funds allowed in LTFP from 2015/16 onwards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7413" w:type="dxa"/>
            <w:shd w:val="clear" w:color="auto" w:fill="E7E1D5"/>
          </w:tcPr>
          <w:p w:rsidR="000117FF" w:rsidRPr="00047151" w:rsidRDefault="00B658AD" w:rsidP="005147CB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Undertake a service level review in line with the ACELG Service Delivery Review in Australian Local Government Report.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D7760A" w:rsidP="00D7760A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To commence in 2016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4F4D8F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Refer Page 9 of CSP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7413" w:type="dxa"/>
            <w:shd w:val="clear" w:color="auto" w:fill="E7E1D5"/>
          </w:tcPr>
          <w:p w:rsidR="00B658AD" w:rsidRPr="005D2E69" w:rsidRDefault="00B658AD" w:rsidP="00597188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Engage independent professional valuer to assess all building assets and determine cost to bring to a satisfactory standard.</w:t>
            </w:r>
          </w:p>
          <w:p w:rsidR="00B658AD" w:rsidRPr="005D2E69" w:rsidRDefault="00B658AD" w:rsidP="00597188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Develop a buildings programmed maintenance plan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5147CB" w:rsidP="003B69D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D7760A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4F4D8F" w:rsidP="004F4D8F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Co</w:t>
            </w:r>
            <w:r w:rsidR="00941307">
              <w:rPr>
                <w:rFonts w:ascii="Calibri" w:hAnsi="Calibri" w:cs="Arial"/>
                <w:sz w:val="22"/>
              </w:rPr>
              <w:t>nsultant costs included in LTFP in</w:t>
            </w:r>
            <w:r>
              <w:rPr>
                <w:rFonts w:ascii="Calibri" w:hAnsi="Calibri" w:cs="Arial"/>
                <w:sz w:val="22"/>
              </w:rPr>
              <w:t xml:space="preserve"> 2015/16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7413" w:type="dxa"/>
            <w:shd w:val="clear" w:color="auto" w:fill="E7E1D5"/>
          </w:tcPr>
          <w:p w:rsidR="00B658AD" w:rsidRPr="005D2E69" w:rsidRDefault="00B658AD" w:rsidP="00597188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Utilise loans as a source of funding for the construction of the Showground Hall – access TCorp borrowing facility.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B658AD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By June 2016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4F4D8F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Included in LTFP</w:t>
            </w:r>
            <w:r w:rsidR="00941307">
              <w:rPr>
                <w:rFonts w:ascii="Calibri" w:hAnsi="Calibri" w:cs="Arial"/>
                <w:sz w:val="22"/>
              </w:rPr>
              <w:t xml:space="preserve"> 2015/16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7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335749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Asset management plans to be reviewed in-house and integrated with the Long Term Financial Plan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5147CB" w:rsidP="00015738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D7760A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547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B658AD" w:rsidRDefault="00941307" w:rsidP="00941307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Included in Resourcing Strategy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7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335749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Engage independent professional engineer to assess all road infrastructure assets and determine cost to bring to a satisfactory condition.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5147CB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D7760A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547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B658AD" w:rsidRDefault="00941307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Consultant costs included in LTFP in 2015/16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7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184339">
            <w:pPr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Introduce Zero Based Budgeting (ZBB)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0117FF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 place for 1 July 2016</w:t>
            </w:r>
          </w:p>
        </w:tc>
        <w:tc>
          <w:tcPr>
            <w:tcW w:w="3547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B658AD" w:rsidRDefault="00941307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In-house by existing staff – No savings identified at this time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7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335749">
            <w:pPr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Revise current work practices to reduce costs and improve efficiencies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0117FF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By June 2016</w:t>
            </w:r>
          </w:p>
        </w:tc>
        <w:tc>
          <w:tcPr>
            <w:tcW w:w="3547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B658AD" w:rsidRDefault="00941307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In-house by existing staff – No savings identified at this time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74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Default="00B658AD" w:rsidP="00335749">
            <w:pPr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Negotiate a new Enterprise Agreement and eliminate payment of untaken sick leave on termination and introduce fortnightly pays.</w:t>
            </w:r>
          </w:p>
          <w:p w:rsidR="000117FF" w:rsidRPr="000117FF" w:rsidRDefault="000117FF" w:rsidP="00335749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6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5D2E69" w:rsidRDefault="005147CB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0117FF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547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7E1D5"/>
          </w:tcPr>
          <w:p w:rsidR="00B658AD" w:rsidRPr="00B658AD" w:rsidRDefault="00941307" w:rsidP="00335749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In-house by existing staff – No savings identified at this time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lastRenderedPageBreak/>
              <w:t>18</w:t>
            </w:r>
          </w:p>
        </w:tc>
        <w:tc>
          <w:tcPr>
            <w:tcW w:w="7413" w:type="dxa"/>
            <w:shd w:val="clear" w:color="auto" w:fill="E7E1D5"/>
          </w:tcPr>
          <w:p w:rsidR="00047151" w:rsidRPr="005D2E69" w:rsidRDefault="00941307" w:rsidP="005147CB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sz w:val="22"/>
              </w:rPr>
              <w:t>Establish</w:t>
            </w:r>
            <w:r w:rsidR="00B658AD" w:rsidRPr="005D2E69">
              <w:rPr>
                <w:rFonts w:ascii="Calibri" w:hAnsi="Calibri" w:cs="Arial"/>
                <w:sz w:val="22"/>
              </w:rPr>
              <w:t xml:space="preserve"> leave plans for individuals with excessive annual and long service  leave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5147CB" w:rsidP="003B69D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665437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941307" w:rsidP="003B69D6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In-house by existing staff – No savings identified at this time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7413" w:type="dxa"/>
            <w:shd w:val="clear" w:color="auto" w:fill="E7E1D5"/>
          </w:tcPr>
          <w:p w:rsidR="00047151" w:rsidRPr="005D2E69" w:rsidRDefault="00B658AD" w:rsidP="00DF6748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Review all delegations and staff who have delegated functions.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5147CB" w:rsidP="005147CB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665437">
              <w:rPr>
                <w:rFonts w:ascii="Calibri" w:hAnsi="Calibri" w:cs="Arial"/>
                <w:b/>
                <w:sz w:val="22"/>
              </w:rPr>
              <w:t>Com</w:t>
            </w:r>
            <w:r>
              <w:rPr>
                <w:rFonts w:ascii="Calibri" w:hAnsi="Calibri" w:cs="Arial"/>
                <w:b/>
                <w:sz w:val="22"/>
              </w:rPr>
              <w:t>pleted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941307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In-house by existing staff – No savings identified at this time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7413" w:type="dxa"/>
            <w:shd w:val="clear" w:color="auto" w:fill="E7E1D5"/>
          </w:tcPr>
          <w:p w:rsidR="00047151" w:rsidRPr="005D2E69" w:rsidRDefault="00B658AD" w:rsidP="005147CB">
            <w:pPr>
              <w:rPr>
                <w:rFonts w:ascii="Calibri" w:hAnsi="Calibri" w:cs="Arial"/>
                <w:b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Strengthen Friendship alliance with Penrith City Council and utilise their staff and expertise to improve governance processes.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5147CB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665437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941307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In-house by existing staff – No savings identified at this time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7413" w:type="dxa"/>
            <w:shd w:val="clear" w:color="auto" w:fill="E7E1D5"/>
          </w:tcPr>
          <w:p w:rsidR="00047151" w:rsidRPr="005D2E69" w:rsidRDefault="00B658AD" w:rsidP="005147CB">
            <w:pPr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 xml:space="preserve">Develop a formal MOU with the Mid Lachlan Alliance (Forbes, Parkes and Lachlan) setting out opportunities for Resource Sharing. 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5147CB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665437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A57702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In-house by existing staff – No savings identified at this time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7413" w:type="dxa"/>
            <w:shd w:val="clear" w:color="auto" w:fill="E7E1D5"/>
          </w:tcPr>
          <w:p w:rsidR="00B658AD" w:rsidRPr="005D2E69" w:rsidRDefault="00B658AD" w:rsidP="00F55801">
            <w:pPr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Assign relevant staff to the various working committees of the CENTROC JO.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5147CB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D7760A">
              <w:rPr>
                <w:rFonts w:ascii="Calibri" w:hAnsi="Calibri" w:cs="Arial"/>
                <w:b/>
                <w:sz w:val="22"/>
              </w:rPr>
              <w:t>Commenced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941307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In-house by existing staff – No savings identified at this time</w:t>
            </w:r>
          </w:p>
        </w:tc>
      </w:tr>
      <w:tr w:rsidR="00B658AD" w:rsidRPr="00116578" w:rsidTr="00D7760A">
        <w:trPr>
          <w:trHeight w:val="669"/>
        </w:trPr>
        <w:tc>
          <w:tcPr>
            <w:tcW w:w="851" w:type="dxa"/>
            <w:shd w:val="clear" w:color="auto" w:fill="E7E1D5"/>
          </w:tcPr>
          <w:p w:rsidR="00B658AD" w:rsidRPr="005D2E69" w:rsidRDefault="00B658AD" w:rsidP="00DF6748">
            <w:pPr>
              <w:jc w:val="center"/>
              <w:rPr>
                <w:rFonts w:ascii="Calibri" w:hAnsi="Calibri"/>
                <w:sz w:val="22"/>
              </w:rPr>
            </w:pPr>
            <w:r w:rsidRPr="005D2E69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7413" w:type="dxa"/>
            <w:shd w:val="clear" w:color="auto" w:fill="E7E1D5"/>
          </w:tcPr>
          <w:p w:rsidR="00B658AD" w:rsidRPr="005D2E69" w:rsidRDefault="00B658AD" w:rsidP="00F55801">
            <w:pPr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Develop Management Plans for Gumbend Lake Recreational Area and Condobolin Showground/Racecourse.</w:t>
            </w:r>
          </w:p>
        </w:tc>
        <w:tc>
          <w:tcPr>
            <w:tcW w:w="1622" w:type="dxa"/>
            <w:shd w:val="clear" w:color="auto" w:fill="E7E1D5"/>
          </w:tcPr>
          <w:p w:rsidR="00B658AD" w:rsidRPr="005D2E69" w:rsidRDefault="00B658AD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5D2E69">
              <w:rPr>
                <w:rFonts w:ascii="Calibri" w:hAnsi="Calibri" w:cs="Arial"/>
                <w:sz w:val="22"/>
              </w:rPr>
              <w:t>By December 2016</w:t>
            </w:r>
          </w:p>
        </w:tc>
        <w:tc>
          <w:tcPr>
            <w:tcW w:w="3547" w:type="dxa"/>
            <w:gridSpan w:val="3"/>
            <w:shd w:val="clear" w:color="auto" w:fill="E7E1D5"/>
          </w:tcPr>
          <w:p w:rsidR="00B658AD" w:rsidRPr="00B658AD" w:rsidRDefault="00941307" w:rsidP="00B0251D">
            <w:pPr>
              <w:spacing w:after="0" w:line="24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In-house by existing staff – No savings identified at this time</w:t>
            </w:r>
          </w:p>
        </w:tc>
      </w:tr>
    </w:tbl>
    <w:p w:rsidR="008505F7" w:rsidRDefault="008505F7" w:rsidP="0035544B">
      <w:pPr>
        <w:spacing w:after="0"/>
        <w:ind w:right="1296"/>
        <w:rPr>
          <w:b/>
          <w:szCs w:val="24"/>
        </w:rPr>
      </w:pPr>
      <w:bookmarkStart w:id="1" w:name="_Toc386119875"/>
      <w:bookmarkEnd w:id="1"/>
    </w:p>
    <w:sectPr w:rsidR="008505F7" w:rsidSect="00887CEC">
      <w:footerReference w:type="default" r:id="rId15"/>
      <w:pgSz w:w="16838" w:h="11906" w:orient="landscape"/>
      <w:pgMar w:top="426" w:right="1812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E7" w:rsidRDefault="008369E7" w:rsidP="00F135BC">
      <w:pPr>
        <w:spacing w:after="0" w:line="240" w:lineRule="auto"/>
      </w:pPr>
      <w:r>
        <w:separator/>
      </w:r>
    </w:p>
  </w:endnote>
  <w:endnote w:type="continuationSeparator" w:id="0">
    <w:p w:rsidR="008369E7" w:rsidRDefault="008369E7" w:rsidP="00F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AD" w:rsidRPr="003B69D6" w:rsidRDefault="009E22AD" w:rsidP="003B69D6">
    <w:pPr>
      <w:pStyle w:val="Footer"/>
      <w:pBdr>
        <w:top w:val="single" w:sz="12" w:space="1" w:color="auto"/>
      </w:pBdr>
      <w:rPr>
        <w:i/>
        <w:sz w:val="18"/>
      </w:rPr>
    </w:pPr>
    <w:r>
      <w:rPr>
        <w:i/>
        <w:sz w:val="18"/>
      </w:rPr>
      <w:t xml:space="preserve"> </w:t>
    </w:r>
    <w:r w:rsidRPr="003B69D6">
      <w:rPr>
        <w:i/>
        <w:sz w:val="18"/>
      </w:rPr>
      <w:t xml:space="preserve">Lachlan Shire </w:t>
    </w:r>
    <w:r>
      <w:rPr>
        <w:i/>
        <w:sz w:val="18"/>
      </w:rPr>
      <w:t>Council Improvement Plan</w:t>
    </w:r>
    <w:r w:rsidRPr="003B69D6">
      <w:rPr>
        <w:i/>
        <w:sz w:val="18"/>
      </w:rPr>
      <w:t xml:space="preserve"> –</w:t>
    </w:r>
    <w:r w:rsidR="00D7760A">
      <w:rPr>
        <w:i/>
        <w:sz w:val="18"/>
      </w:rPr>
      <w:t>September</w:t>
    </w:r>
    <w:r w:rsidRPr="003B69D6">
      <w:rPr>
        <w:i/>
        <w:sz w:val="18"/>
      </w:rPr>
      <w:t xml:space="preserve"> 201</w:t>
    </w:r>
    <w:r>
      <w:rPr>
        <w:i/>
        <w:sz w:val="18"/>
      </w:rPr>
      <w:t>5</w:t>
    </w:r>
    <w:r w:rsidRPr="003B69D6">
      <w:rPr>
        <w:i/>
        <w:sz w:val="18"/>
      </w:rPr>
      <w:tab/>
    </w:r>
    <w:r w:rsidRPr="003B69D6">
      <w:rPr>
        <w:i/>
        <w:sz w:val="18"/>
      </w:rPr>
      <w:tab/>
    </w:r>
    <w:r w:rsidRPr="003B69D6">
      <w:rPr>
        <w:i/>
        <w:sz w:val="18"/>
      </w:rPr>
      <w:tab/>
    </w:r>
    <w:r w:rsidRPr="003B69D6">
      <w:rPr>
        <w:i/>
        <w:sz w:val="18"/>
      </w:rPr>
      <w:tab/>
    </w:r>
    <w:r w:rsidRPr="003B69D6">
      <w:rPr>
        <w:i/>
        <w:sz w:val="18"/>
      </w:rPr>
      <w:tab/>
    </w:r>
    <w:r w:rsidRPr="003B69D6">
      <w:rPr>
        <w:i/>
        <w:sz w:val="18"/>
      </w:rPr>
      <w:tab/>
      <w:t xml:space="preserve">Page | </w:t>
    </w:r>
    <w:r w:rsidRPr="003B69D6">
      <w:rPr>
        <w:i/>
        <w:sz w:val="18"/>
      </w:rPr>
      <w:fldChar w:fldCharType="begin"/>
    </w:r>
    <w:r w:rsidRPr="003B69D6">
      <w:rPr>
        <w:i/>
        <w:sz w:val="18"/>
      </w:rPr>
      <w:instrText xml:space="preserve"> PAGE   \* MERGEFORMAT </w:instrText>
    </w:r>
    <w:r w:rsidRPr="003B69D6">
      <w:rPr>
        <w:i/>
        <w:sz w:val="18"/>
      </w:rPr>
      <w:fldChar w:fldCharType="separate"/>
    </w:r>
    <w:r w:rsidR="00772C4B">
      <w:rPr>
        <w:i/>
        <w:noProof/>
        <w:sz w:val="18"/>
      </w:rPr>
      <w:t>2</w:t>
    </w:r>
    <w:r w:rsidRPr="003B69D6">
      <w:rPr>
        <w:i/>
        <w:sz w:val="18"/>
      </w:rPr>
      <w:fldChar w:fldCharType="end"/>
    </w:r>
  </w:p>
  <w:p w:rsidR="009E22AD" w:rsidRDefault="009E2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E7" w:rsidRDefault="008369E7" w:rsidP="00F135BC">
      <w:pPr>
        <w:spacing w:after="0" w:line="240" w:lineRule="auto"/>
      </w:pPr>
      <w:r>
        <w:separator/>
      </w:r>
    </w:p>
  </w:footnote>
  <w:footnote w:type="continuationSeparator" w:id="0">
    <w:p w:rsidR="008369E7" w:rsidRDefault="008369E7" w:rsidP="00F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B4F"/>
    <w:multiLevelType w:val="hybridMultilevel"/>
    <w:tmpl w:val="AA1EB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14B39"/>
    <w:multiLevelType w:val="hybridMultilevel"/>
    <w:tmpl w:val="2E2EF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1F54"/>
    <w:multiLevelType w:val="hybridMultilevel"/>
    <w:tmpl w:val="06F06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134B"/>
    <w:multiLevelType w:val="hybridMultilevel"/>
    <w:tmpl w:val="D49E2F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0342DE"/>
    <w:multiLevelType w:val="hybridMultilevel"/>
    <w:tmpl w:val="0510841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770BF9"/>
    <w:multiLevelType w:val="hybridMultilevel"/>
    <w:tmpl w:val="5E9E623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4EE1593A"/>
    <w:multiLevelType w:val="hybridMultilevel"/>
    <w:tmpl w:val="A978DA60"/>
    <w:lvl w:ilvl="0" w:tplc="AAB20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041"/>
    <w:multiLevelType w:val="hybridMultilevel"/>
    <w:tmpl w:val="B8DE93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E3D31"/>
    <w:multiLevelType w:val="hybridMultilevel"/>
    <w:tmpl w:val="67022D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BF3C7F"/>
    <w:multiLevelType w:val="hybridMultilevel"/>
    <w:tmpl w:val="46080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E207B4"/>
    <w:multiLevelType w:val="hybridMultilevel"/>
    <w:tmpl w:val="7506C9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D01971"/>
    <w:multiLevelType w:val="hybridMultilevel"/>
    <w:tmpl w:val="807465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9504BAE"/>
    <w:multiLevelType w:val="hybridMultilevel"/>
    <w:tmpl w:val="8FD8B3C0"/>
    <w:lvl w:ilvl="0" w:tplc="BCB01E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1F3DCE"/>
    <w:multiLevelType w:val="hybridMultilevel"/>
    <w:tmpl w:val="AC1EADD0"/>
    <w:lvl w:ilvl="0" w:tplc="41DA98D2">
      <w:start w:val="5"/>
      <w:numFmt w:val="bullet"/>
      <w:lvlText w:val="•"/>
      <w:lvlJc w:val="left"/>
      <w:pPr>
        <w:ind w:left="720" w:hanging="72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>
      <o:colormru v:ext="edit" colors="#c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72"/>
    <w:rsid w:val="0000419D"/>
    <w:rsid w:val="000117FF"/>
    <w:rsid w:val="00015738"/>
    <w:rsid w:val="0002036B"/>
    <w:rsid w:val="00023939"/>
    <w:rsid w:val="00027945"/>
    <w:rsid w:val="00032285"/>
    <w:rsid w:val="0003590B"/>
    <w:rsid w:val="00035CF9"/>
    <w:rsid w:val="00037904"/>
    <w:rsid w:val="00047151"/>
    <w:rsid w:val="000477D4"/>
    <w:rsid w:val="000537E8"/>
    <w:rsid w:val="0005386C"/>
    <w:rsid w:val="00054563"/>
    <w:rsid w:val="00063163"/>
    <w:rsid w:val="00070F6A"/>
    <w:rsid w:val="000778A8"/>
    <w:rsid w:val="00096977"/>
    <w:rsid w:val="000B0FCE"/>
    <w:rsid w:val="000B269C"/>
    <w:rsid w:val="000B3B1E"/>
    <w:rsid w:val="000C199D"/>
    <w:rsid w:val="000C2A3D"/>
    <w:rsid w:val="000C6962"/>
    <w:rsid w:val="000E5524"/>
    <w:rsid w:val="000F27EF"/>
    <w:rsid w:val="000F2A4E"/>
    <w:rsid w:val="000F30DB"/>
    <w:rsid w:val="000F3B50"/>
    <w:rsid w:val="000F451A"/>
    <w:rsid w:val="00104D33"/>
    <w:rsid w:val="00110709"/>
    <w:rsid w:val="0011247A"/>
    <w:rsid w:val="00116578"/>
    <w:rsid w:val="001254BF"/>
    <w:rsid w:val="001470F5"/>
    <w:rsid w:val="00150F97"/>
    <w:rsid w:val="0017212C"/>
    <w:rsid w:val="0017239A"/>
    <w:rsid w:val="00174362"/>
    <w:rsid w:val="00184339"/>
    <w:rsid w:val="001A0C42"/>
    <w:rsid w:val="001A15C2"/>
    <w:rsid w:val="001A37F2"/>
    <w:rsid w:val="001A4ECC"/>
    <w:rsid w:val="001B0511"/>
    <w:rsid w:val="001B2803"/>
    <w:rsid w:val="001B3A07"/>
    <w:rsid w:val="001B638A"/>
    <w:rsid w:val="001C4FF2"/>
    <w:rsid w:val="001C5A76"/>
    <w:rsid w:val="001D26F8"/>
    <w:rsid w:val="001E3C8B"/>
    <w:rsid w:val="001F0A34"/>
    <w:rsid w:val="001F1240"/>
    <w:rsid w:val="001F248C"/>
    <w:rsid w:val="001F3B41"/>
    <w:rsid w:val="001F6FDF"/>
    <w:rsid w:val="001F7B7F"/>
    <w:rsid w:val="0020338B"/>
    <w:rsid w:val="002072C5"/>
    <w:rsid w:val="00207496"/>
    <w:rsid w:val="00212472"/>
    <w:rsid w:val="00214FE1"/>
    <w:rsid w:val="00223453"/>
    <w:rsid w:val="00232A2E"/>
    <w:rsid w:val="0023344A"/>
    <w:rsid w:val="00244F25"/>
    <w:rsid w:val="002456A2"/>
    <w:rsid w:val="00245DB3"/>
    <w:rsid w:val="002648A8"/>
    <w:rsid w:val="0027787A"/>
    <w:rsid w:val="00281432"/>
    <w:rsid w:val="00281657"/>
    <w:rsid w:val="0028677D"/>
    <w:rsid w:val="00286B89"/>
    <w:rsid w:val="002A0986"/>
    <w:rsid w:val="002A0ABE"/>
    <w:rsid w:val="002A1888"/>
    <w:rsid w:val="002A2F26"/>
    <w:rsid w:val="002A3224"/>
    <w:rsid w:val="002A6595"/>
    <w:rsid w:val="002C5288"/>
    <w:rsid w:val="002D594F"/>
    <w:rsid w:val="002E0E70"/>
    <w:rsid w:val="002E4553"/>
    <w:rsid w:val="00324359"/>
    <w:rsid w:val="00327082"/>
    <w:rsid w:val="00333A2E"/>
    <w:rsid w:val="003347C8"/>
    <w:rsid w:val="00335749"/>
    <w:rsid w:val="00335C52"/>
    <w:rsid w:val="0035544B"/>
    <w:rsid w:val="00357A44"/>
    <w:rsid w:val="00362542"/>
    <w:rsid w:val="00380085"/>
    <w:rsid w:val="003920A2"/>
    <w:rsid w:val="003924CF"/>
    <w:rsid w:val="003A7A7A"/>
    <w:rsid w:val="003B5920"/>
    <w:rsid w:val="003B69D6"/>
    <w:rsid w:val="003C5C30"/>
    <w:rsid w:val="003C75C0"/>
    <w:rsid w:val="003D4ABB"/>
    <w:rsid w:val="003D63EB"/>
    <w:rsid w:val="003D6C10"/>
    <w:rsid w:val="003E1943"/>
    <w:rsid w:val="003E757C"/>
    <w:rsid w:val="003F1009"/>
    <w:rsid w:val="003F2A42"/>
    <w:rsid w:val="003F4BB8"/>
    <w:rsid w:val="003F53AC"/>
    <w:rsid w:val="00411255"/>
    <w:rsid w:val="004119DA"/>
    <w:rsid w:val="00415964"/>
    <w:rsid w:val="00417FE5"/>
    <w:rsid w:val="00422A34"/>
    <w:rsid w:val="004267AE"/>
    <w:rsid w:val="00426F4B"/>
    <w:rsid w:val="004459FA"/>
    <w:rsid w:val="0044721F"/>
    <w:rsid w:val="00450349"/>
    <w:rsid w:val="004719F4"/>
    <w:rsid w:val="004869DA"/>
    <w:rsid w:val="00495954"/>
    <w:rsid w:val="004968C1"/>
    <w:rsid w:val="004A25F4"/>
    <w:rsid w:val="004A2689"/>
    <w:rsid w:val="004B6684"/>
    <w:rsid w:val="004D2D4E"/>
    <w:rsid w:val="004D404F"/>
    <w:rsid w:val="004D776A"/>
    <w:rsid w:val="004F3364"/>
    <w:rsid w:val="004F4D8F"/>
    <w:rsid w:val="004F6A19"/>
    <w:rsid w:val="004F7215"/>
    <w:rsid w:val="004F76DC"/>
    <w:rsid w:val="0050066B"/>
    <w:rsid w:val="0051295E"/>
    <w:rsid w:val="005147CB"/>
    <w:rsid w:val="00531C53"/>
    <w:rsid w:val="00534BB6"/>
    <w:rsid w:val="0054267C"/>
    <w:rsid w:val="00546E53"/>
    <w:rsid w:val="0054728E"/>
    <w:rsid w:val="00550AF5"/>
    <w:rsid w:val="00557971"/>
    <w:rsid w:val="00564F5E"/>
    <w:rsid w:val="00567530"/>
    <w:rsid w:val="0058144A"/>
    <w:rsid w:val="00597188"/>
    <w:rsid w:val="005A15DB"/>
    <w:rsid w:val="005A5201"/>
    <w:rsid w:val="005A6223"/>
    <w:rsid w:val="005B2073"/>
    <w:rsid w:val="005C1D90"/>
    <w:rsid w:val="005C2118"/>
    <w:rsid w:val="005D2E69"/>
    <w:rsid w:val="005F55ED"/>
    <w:rsid w:val="005F784A"/>
    <w:rsid w:val="006028E4"/>
    <w:rsid w:val="0061512A"/>
    <w:rsid w:val="006311AB"/>
    <w:rsid w:val="00634DB5"/>
    <w:rsid w:val="0065123B"/>
    <w:rsid w:val="00660642"/>
    <w:rsid w:val="00665413"/>
    <w:rsid w:val="00665437"/>
    <w:rsid w:val="0066662D"/>
    <w:rsid w:val="00667A3A"/>
    <w:rsid w:val="00691854"/>
    <w:rsid w:val="006A5C26"/>
    <w:rsid w:val="006B15BB"/>
    <w:rsid w:val="006B532F"/>
    <w:rsid w:val="006D30BD"/>
    <w:rsid w:val="006D4FB4"/>
    <w:rsid w:val="006D5BA5"/>
    <w:rsid w:val="006D5C64"/>
    <w:rsid w:val="006F334C"/>
    <w:rsid w:val="006F5E1B"/>
    <w:rsid w:val="007072AF"/>
    <w:rsid w:val="0071122A"/>
    <w:rsid w:val="00713711"/>
    <w:rsid w:val="00722ADD"/>
    <w:rsid w:val="007422E0"/>
    <w:rsid w:val="00743B6A"/>
    <w:rsid w:val="007445E2"/>
    <w:rsid w:val="00745474"/>
    <w:rsid w:val="00745595"/>
    <w:rsid w:val="00751434"/>
    <w:rsid w:val="0075585A"/>
    <w:rsid w:val="007625D2"/>
    <w:rsid w:val="0076404E"/>
    <w:rsid w:val="00766801"/>
    <w:rsid w:val="007715DD"/>
    <w:rsid w:val="00772C4B"/>
    <w:rsid w:val="00773799"/>
    <w:rsid w:val="0077609B"/>
    <w:rsid w:val="007811B9"/>
    <w:rsid w:val="007923C7"/>
    <w:rsid w:val="007A7E18"/>
    <w:rsid w:val="007B0498"/>
    <w:rsid w:val="007D0415"/>
    <w:rsid w:val="007D2792"/>
    <w:rsid w:val="007F0D95"/>
    <w:rsid w:val="00800514"/>
    <w:rsid w:val="0080244F"/>
    <w:rsid w:val="00806A72"/>
    <w:rsid w:val="0082040C"/>
    <w:rsid w:val="00831390"/>
    <w:rsid w:val="008341EC"/>
    <w:rsid w:val="008362F0"/>
    <w:rsid w:val="008369E7"/>
    <w:rsid w:val="00847921"/>
    <w:rsid w:val="008505F7"/>
    <w:rsid w:val="00851AE1"/>
    <w:rsid w:val="00857D40"/>
    <w:rsid w:val="00863D3F"/>
    <w:rsid w:val="0086575F"/>
    <w:rsid w:val="008668DA"/>
    <w:rsid w:val="00880251"/>
    <w:rsid w:val="008802C4"/>
    <w:rsid w:val="00887CEC"/>
    <w:rsid w:val="00891741"/>
    <w:rsid w:val="00897DDD"/>
    <w:rsid w:val="008A2F33"/>
    <w:rsid w:val="008C2EBF"/>
    <w:rsid w:val="008D1E3D"/>
    <w:rsid w:val="008E2D31"/>
    <w:rsid w:val="008E3D84"/>
    <w:rsid w:val="008E5161"/>
    <w:rsid w:val="008F7E60"/>
    <w:rsid w:val="00901170"/>
    <w:rsid w:val="00905128"/>
    <w:rsid w:val="00905FAA"/>
    <w:rsid w:val="00906075"/>
    <w:rsid w:val="00906969"/>
    <w:rsid w:val="00924EB7"/>
    <w:rsid w:val="00925B0C"/>
    <w:rsid w:val="00941307"/>
    <w:rsid w:val="009423FC"/>
    <w:rsid w:val="00952681"/>
    <w:rsid w:val="00954225"/>
    <w:rsid w:val="00982A24"/>
    <w:rsid w:val="0098788E"/>
    <w:rsid w:val="00987CE2"/>
    <w:rsid w:val="00995375"/>
    <w:rsid w:val="00995B14"/>
    <w:rsid w:val="009A18DB"/>
    <w:rsid w:val="009A22BA"/>
    <w:rsid w:val="009A6F8D"/>
    <w:rsid w:val="009D053C"/>
    <w:rsid w:val="009D0FCF"/>
    <w:rsid w:val="009E22AD"/>
    <w:rsid w:val="009E3C7C"/>
    <w:rsid w:val="009E70BB"/>
    <w:rsid w:val="009F0A7C"/>
    <w:rsid w:val="009F609B"/>
    <w:rsid w:val="00A12794"/>
    <w:rsid w:val="00A15413"/>
    <w:rsid w:val="00A2165E"/>
    <w:rsid w:val="00A22D8A"/>
    <w:rsid w:val="00A265D6"/>
    <w:rsid w:val="00A27726"/>
    <w:rsid w:val="00A306A2"/>
    <w:rsid w:val="00A36372"/>
    <w:rsid w:val="00A55176"/>
    <w:rsid w:val="00A57702"/>
    <w:rsid w:val="00A6726E"/>
    <w:rsid w:val="00A721D6"/>
    <w:rsid w:val="00A771F8"/>
    <w:rsid w:val="00A85C2F"/>
    <w:rsid w:val="00A945BE"/>
    <w:rsid w:val="00A9568A"/>
    <w:rsid w:val="00AC52F7"/>
    <w:rsid w:val="00AD6899"/>
    <w:rsid w:val="00AE222F"/>
    <w:rsid w:val="00AE256D"/>
    <w:rsid w:val="00AE429E"/>
    <w:rsid w:val="00AE71A3"/>
    <w:rsid w:val="00AF2613"/>
    <w:rsid w:val="00B0251D"/>
    <w:rsid w:val="00B04CA1"/>
    <w:rsid w:val="00B05A04"/>
    <w:rsid w:val="00B24013"/>
    <w:rsid w:val="00B241AD"/>
    <w:rsid w:val="00B450E2"/>
    <w:rsid w:val="00B45C04"/>
    <w:rsid w:val="00B50EB3"/>
    <w:rsid w:val="00B548F1"/>
    <w:rsid w:val="00B61A1C"/>
    <w:rsid w:val="00B658AD"/>
    <w:rsid w:val="00B661AF"/>
    <w:rsid w:val="00B74198"/>
    <w:rsid w:val="00B82B84"/>
    <w:rsid w:val="00B90184"/>
    <w:rsid w:val="00B96CBB"/>
    <w:rsid w:val="00B9712B"/>
    <w:rsid w:val="00BA4C13"/>
    <w:rsid w:val="00BC214D"/>
    <w:rsid w:val="00BC2F99"/>
    <w:rsid w:val="00BD37A5"/>
    <w:rsid w:val="00BE4CB9"/>
    <w:rsid w:val="00BE4D38"/>
    <w:rsid w:val="00BE6AFE"/>
    <w:rsid w:val="00BE6BF1"/>
    <w:rsid w:val="00BF5289"/>
    <w:rsid w:val="00C03668"/>
    <w:rsid w:val="00C07720"/>
    <w:rsid w:val="00C109EC"/>
    <w:rsid w:val="00C15CF6"/>
    <w:rsid w:val="00C174EE"/>
    <w:rsid w:val="00C22320"/>
    <w:rsid w:val="00C23C31"/>
    <w:rsid w:val="00C26313"/>
    <w:rsid w:val="00C33F64"/>
    <w:rsid w:val="00C35720"/>
    <w:rsid w:val="00C441F3"/>
    <w:rsid w:val="00C6212C"/>
    <w:rsid w:val="00C6387C"/>
    <w:rsid w:val="00C73CAB"/>
    <w:rsid w:val="00C81CEA"/>
    <w:rsid w:val="00C87A68"/>
    <w:rsid w:val="00CB123E"/>
    <w:rsid w:val="00CB216A"/>
    <w:rsid w:val="00CB3F8E"/>
    <w:rsid w:val="00CC338D"/>
    <w:rsid w:val="00CC3E10"/>
    <w:rsid w:val="00CC494A"/>
    <w:rsid w:val="00CD2083"/>
    <w:rsid w:val="00CD497F"/>
    <w:rsid w:val="00CE07BA"/>
    <w:rsid w:val="00D104B8"/>
    <w:rsid w:val="00D200B3"/>
    <w:rsid w:val="00D21F55"/>
    <w:rsid w:val="00D2225B"/>
    <w:rsid w:val="00D267CC"/>
    <w:rsid w:val="00D3643C"/>
    <w:rsid w:val="00D44D9C"/>
    <w:rsid w:val="00D5233E"/>
    <w:rsid w:val="00D53988"/>
    <w:rsid w:val="00D6013A"/>
    <w:rsid w:val="00D62076"/>
    <w:rsid w:val="00D62E82"/>
    <w:rsid w:val="00D72A2F"/>
    <w:rsid w:val="00D72F13"/>
    <w:rsid w:val="00D7760A"/>
    <w:rsid w:val="00D8315E"/>
    <w:rsid w:val="00D93A4B"/>
    <w:rsid w:val="00DA0EF7"/>
    <w:rsid w:val="00DA340B"/>
    <w:rsid w:val="00DA7708"/>
    <w:rsid w:val="00DB15C5"/>
    <w:rsid w:val="00DD1783"/>
    <w:rsid w:val="00DE64E7"/>
    <w:rsid w:val="00DE6D58"/>
    <w:rsid w:val="00DF058E"/>
    <w:rsid w:val="00DF2AFB"/>
    <w:rsid w:val="00DF6748"/>
    <w:rsid w:val="00DF67A9"/>
    <w:rsid w:val="00E00C50"/>
    <w:rsid w:val="00E010FF"/>
    <w:rsid w:val="00E12DBE"/>
    <w:rsid w:val="00E13744"/>
    <w:rsid w:val="00E139F7"/>
    <w:rsid w:val="00E158CF"/>
    <w:rsid w:val="00E22765"/>
    <w:rsid w:val="00E24DDD"/>
    <w:rsid w:val="00E3003A"/>
    <w:rsid w:val="00E3256B"/>
    <w:rsid w:val="00E55CF2"/>
    <w:rsid w:val="00E57D33"/>
    <w:rsid w:val="00E62752"/>
    <w:rsid w:val="00E6682B"/>
    <w:rsid w:val="00E7080D"/>
    <w:rsid w:val="00E9543B"/>
    <w:rsid w:val="00EA0C21"/>
    <w:rsid w:val="00EA30B2"/>
    <w:rsid w:val="00EA49B0"/>
    <w:rsid w:val="00EA7C7E"/>
    <w:rsid w:val="00EB0ED5"/>
    <w:rsid w:val="00EB2CBA"/>
    <w:rsid w:val="00EC70B2"/>
    <w:rsid w:val="00ED42CA"/>
    <w:rsid w:val="00ED7300"/>
    <w:rsid w:val="00EE04BA"/>
    <w:rsid w:val="00EE0758"/>
    <w:rsid w:val="00EE1E81"/>
    <w:rsid w:val="00EE782E"/>
    <w:rsid w:val="00EF2806"/>
    <w:rsid w:val="00F03571"/>
    <w:rsid w:val="00F04C30"/>
    <w:rsid w:val="00F04F3D"/>
    <w:rsid w:val="00F135BC"/>
    <w:rsid w:val="00F25F99"/>
    <w:rsid w:val="00F304B8"/>
    <w:rsid w:val="00F404AC"/>
    <w:rsid w:val="00F42CEF"/>
    <w:rsid w:val="00F55801"/>
    <w:rsid w:val="00F60A82"/>
    <w:rsid w:val="00F65F6E"/>
    <w:rsid w:val="00F72014"/>
    <w:rsid w:val="00F75CE9"/>
    <w:rsid w:val="00F75D7C"/>
    <w:rsid w:val="00F76428"/>
    <w:rsid w:val="00F83B99"/>
    <w:rsid w:val="00F91735"/>
    <w:rsid w:val="00FA0137"/>
    <w:rsid w:val="00FA2B72"/>
    <w:rsid w:val="00FA39EF"/>
    <w:rsid w:val="00FA4F53"/>
    <w:rsid w:val="00FB22B6"/>
    <w:rsid w:val="00FB381D"/>
    <w:rsid w:val="00FC0A36"/>
    <w:rsid w:val="00FC20AA"/>
    <w:rsid w:val="00FD1842"/>
    <w:rsid w:val="00FF4725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1D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CEC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362"/>
    <w:pPr>
      <w:keepNext/>
      <w:keepLines/>
      <w:spacing w:before="200" w:after="0"/>
      <w:outlineLvl w:val="1"/>
    </w:pPr>
    <w:rPr>
      <w:rFonts w:eastAsia="Times New Roman" w:cs="Arial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9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2B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87CEC"/>
    <w:rPr>
      <w:rFonts w:eastAsia="Times New Roman" w:cs="Arial"/>
      <w:b/>
      <w:bCs/>
      <w:kern w:val="32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232A2E"/>
    <w:pPr>
      <w:spacing w:after="0" w:line="240" w:lineRule="auto"/>
      <w:ind w:left="200"/>
    </w:pPr>
    <w:rPr>
      <w:rFonts w:eastAsia="Times New Roman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rsid w:val="00232A2E"/>
    <w:pPr>
      <w:spacing w:after="0" w:line="240" w:lineRule="auto"/>
    </w:pPr>
    <w:rPr>
      <w:rFonts w:eastAsia="Times New Roman"/>
      <w:szCs w:val="20"/>
      <w:lang w:eastAsia="en-AU"/>
    </w:rPr>
  </w:style>
  <w:style w:type="paragraph" w:styleId="TOC3">
    <w:name w:val="toc 3"/>
    <w:basedOn w:val="Normal"/>
    <w:next w:val="Normal"/>
    <w:autoRedefine/>
    <w:uiPriority w:val="39"/>
    <w:rsid w:val="00FA2B72"/>
    <w:pPr>
      <w:spacing w:after="0" w:line="240" w:lineRule="auto"/>
      <w:ind w:left="400"/>
    </w:pPr>
    <w:rPr>
      <w:rFonts w:eastAsia="Times New Roman"/>
      <w:sz w:val="20"/>
      <w:szCs w:val="20"/>
      <w:lang w:eastAsia="en-AU"/>
    </w:rPr>
  </w:style>
  <w:style w:type="character" w:styleId="Hyperlink">
    <w:name w:val="Hyperlink"/>
    <w:uiPriority w:val="99"/>
    <w:rsid w:val="00FA2B7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174362"/>
    <w:rPr>
      <w:rFonts w:eastAsia="Times New Roman" w:cs="Arial"/>
      <w:b/>
      <w:bCs/>
      <w:color w:val="262626" w:themeColor="text1" w:themeTint="D9"/>
      <w:sz w:val="26"/>
      <w:szCs w:val="2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31C53"/>
    <w:pPr>
      <w:ind w:left="720"/>
      <w:contextualSpacing/>
    </w:pPr>
  </w:style>
  <w:style w:type="table" w:styleId="TableGrid">
    <w:name w:val="Table Grid"/>
    <w:basedOn w:val="TableNormal"/>
    <w:uiPriority w:val="59"/>
    <w:rsid w:val="0044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4459FA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qFormat/>
    <w:rsid w:val="004459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BC"/>
  </w:style>
  <w:style w:type="paragraph" w:styleId="Footer">
    <w:name w:val="footer"/>
    <w:basedOn w:val="Normal"/>
    <w:link w:val="FooterChar"/>
    <w:uiPriority w:val="99"/>
    <w:unhideWhenUsed/>
    <w:rsid w:val="00F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BC"/>
  </w:style>
  <w:style w:type="paragraph" w:styleId="Revision">
    <w:name w:val="Revision"/>
    <w:hidden/>
    <w:uiPriority w:val="99"/>
    <w:semiHidden/>
    <w:rsid w:val="0027787A"/>
    <w:rPr>
      <w:sz w:val="24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D6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C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6C10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C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C10"/>
    <w:rPr>
      <w:b/>
      <w:bCs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32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0F451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1240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1D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CEC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362"/>
    <w:pPr>
      <w:keepNext/>
      <w:keepLines/>
      <w:spacing w:before="200" w:after="0"/>
      <w:outlineLvl w:val="1"/>
    </w:pPr>
    <w:rPr>
      <w:rFonts w:eastAsia="Times New Roman" w:cs="Arial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9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2B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87CEC"/>
    <w:rPr>
      <w:rFonts w:eastAsia="Times New Roman" w:cs="Arial"/>
      <w:b/>
      <w:bCs/>
      <w:kern w:val="32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232A2E"/>
    <w:pPr>
      <w:spacing w:after="0" w:line="240" w:lineRule="auto"/>
      <w:ind w:left="200"/>
    </w:pPr>
    <w:rPr>
      <w:rFonts w:eastAsia="Times New Roman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rsid w:val="00232A2E"/>
    <w:pPr>
      <w:spacing w:after="0" w:line="240" w:lineRule="auto"/>
    </w:pPr>
    <w:rPr>
      <w:rFonts w:eastAsia="Times New Roman"/>
      <w:szCs w:val="20"/>
      <w:lang w:eastAsia="en-AU"/>
    </w:rPr>
  </w:style>
  <w:style w:type="paragraph" w:styleId="TOC3">
    <w:name w:val="toc 3"/>
    <w:basedOn w:val="Normal"/>
    <w:next w:val="Normal"/>
    <w:autoRedefine/>
    <w:uiPriority w:val="39"/>
    <w:rsid w:val="00FA2B72"/>
    <w:pPr>
      <w:spacing w:after="0" w:line="240" w:lineRule="auto"/>
      <w:ind w:left="400"/>
    </w:pPr>
    <w:rPr>
      <w:rFonts w:eastAsia="Times New Roman"/>
      <w:sz w:val="20"/>
      <w:szCs w:val="20"/>
      <w:lang w:eastAsia="en-AU"/>
    </w:rPr>
  </w:style>
  <w:style w:type="character" w:styleId="Hyperlink">
    <w:name w:val="Hyperlink"/>
    <w:uiPriority w:val="99"/>
    <w:rsid w:val="00FA2B7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174362"/>
    <w:rPr>
      <w:rFonts w:eastAsia="Times New Roman" w:cs="Arial"/>
      <w:b/>
      <w:bCs/>
      <w:color w:val="262626" w:themeColor="text1" w:themeTint="D9"/>
      <w:sz w:val="26"/>
      <w:szCs w:val="2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31C53"/>
    <w:pPr>
      <w:ind w:left="720"/>
      <w:contextualSpacing/>
    </w:pPr>
  </w:style>
  <w:style w:type="table" w:styleId="TableGrid">
    <w:name w:val="Table Grid"/>
    <w:basedOn w:val="TableNormal"/>
    <w:uiPriority w:val="59"/>
    <w:rsid w:val="0044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4459FA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qFormat/>
    <w:rsid w:val="004459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BC"/>
  </w:style>
  <w:style w:type="paragraph" w:styleId="Footer">
    <w:name w:val="footer"/>
    <w:basedOn w:val="Normal"/>
    <w:link w:val="FooterChar"/>
    <w:uiPriority w:val="99"/>
    <w:unhideWhenUsed/>
    <w:rsid w:val="00F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BC"/>
  </w:style>
  <w:style w:type="paragraph" w:styleId="Revision">
    <w:name w:val="Revision"/>
    <w:hidden/>
    <w:uiPriority w:val="99"/>
    <w:semiHidden/>
    <w:rsid w:val="0027787A"/>
    <w:rPr>
      <w:sz w:val="24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D6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C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6C10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C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C10"/>
    <w:rPr>
      <w:b/>
      <w:bCs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32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0F451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1240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81F89-F4B4-41C6-949D-D0F556D5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Shoalhaven City Council</Company>
  <LinksUpToDate>false</LinksUpToDate>
  <CharactersWithSpaces>4552</CharactersWithSpaces>
  <SharedDoc>false</SharedDoc>
  <HLinks>
    <vt:vector size="42" baseType="variant"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_Toc355701280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_Toc355701279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_Toc355701278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_Toc355701277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_Toc355701276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_Toc355701275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_Toc355701274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Liddicoats</dc:creator>
  <cp:lastModifiedBy>John Chapman</cp:lastModifiedBy>
  <cp:revision>2</cp:revision>
  <cp:lastPrinted>2015-06-29T06:24:00Z</cp:lastPrinted>
  <dcterms:created xsi:type="dcterms:W3CDTF">2016-02-10T07:10:00Z</dcterms:created>
  <dcterms:modified xsi:type="dcterms:W3CDTF">2016-02-10T07:10:00Z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