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charts/chartEx6.xml" ContentType="application/vnd.ms-office.chartex+xml"/>
  <Override PartName="/word/charts/style6.xml" ContentType="application/vnd.ms-office.chartstyle+xml"/>
  <Override PartName="/word/charts/colors6.xml" ContentType="application/vnd.ms-office.chartcolorstyle+xml"/>
  <Override PartName="/word/charts/chartEx7.xml" ContentType="application/vnd.ms-office.chartex+xml"/>
  <Override PartName="/word/charts/style7.xml" ContentType="application/vnd.ms-office.chartstyle+xml"/>
  <Override PartName="/word/charts/colors7.xml" ContentType="application/vnd.ms-office.chartcolorstyle+xml"/>
  <Override PartName="/word/charts/chartEx8.xml" ContentType="application/vnd.ms-office.chartex+xml"/>
  <Override PartName="/word/charts/style8.xml" ContentType="application/vnd.ms-office.chartstyle+xml"/>
  <Override PartName="/word/charts/colors8.xml" ContentType="application/vnd.ms-office.chartcolorstyle+xml"/>
  <Override PartName="/word/charts/chartEx9.xml" ContentType="application/vnd.ms-office.chartex+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Ex10.xml" ContentType="application/vnd.ms-office.chartex+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Ex11.xml" ContentType="application/vnd.ms-office.chartex+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Ex12.xml" ContentType="application/vnd.ms-office.chartex+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Ex13.xml" ContentType="application/vnd.ms-office.chartex+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Ex14.xml" ContentType="application/vnd.ms-office.chartex+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Ex15.xml" ContentType="application/vnd.ms-office.chartex+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charts/chartEx16.xml" ContentType="application/vnd.ms-office.chartex+xml"/>
  <Override PartName="/word/charts/style16.xml" ContentType="application/vnd.ms-office.chartstyle+xml"/>
  <Override PartName="/word/charts/colors16.xml" ContentType="application/vnd.ms-office.chartcolorstyle+xml"/>
  <Override PartName="/word/theme/themeOverride12.xml" ContentType="application/vnd.openxmlformats-officedocument.themeOverride+xml"/>
  <Override PartName="/word/charts/chartEx17.xml" ContentType="application/vnd.ms-office.chartex+xml"/>
  <Override PartName="/word/charts/style17.xml" ContentType="application/vnd.ms-office.chartstyle+xml"/>
  <Override PartName="/word/charts/colors17.xml" ContentType="application/vnd.ms-office.chartcolorstyle+xml"/>
  <Override PartName="/word/theme/themeOverride1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296A" w14:textId="6E2DF3E0" w:rsidR="00E33DF2" w:rsidRDefault="00E33DF2" w:rsidP="00BA769F">
      <w:pPr>
        <w:jc w:val="center"/>
        <w:rPr>
          <w:b/>
          <w:u w:val="single"/>
        </w:rPr>
      </w:pPr>
      <w:r w:rsidRPr="00BA769F">
        <w:rPr>
          <w:b/>
          <w:u w:val="single"/>
        </w:rPr>
        <w:t>Capacity to Pay – Cootamundra-Gundagai Regional Council</w:t>
      </w:r>
    </w:p>
    <w:p w14:paraId="73F1CC83" w14:textId="702391FD" w:rsidR="00B857E3" w:rsidRPr="000C67B8" w:rsidRDefault="000C67B8" w:rsidP="00BA769F">
      <w:pPr>
        <w:jc w:val="center"/>
        <w:rPr>
          <w:b/>
        </w:rPr>
      </w:pPr>
      <w:r w:rsidRPr="000C67B8">
        <w:rPr>
          <w:b/>
        </w:rPr>
        <w:t>Report Prepar</w:t>
      </w:r>
      <w:r>
        <w:rPr>
          <w:b/>
        </w:rPr>
        <w:t>ed by P</w:t>
      </w:r>
      <w:r w:rsidRPr="000C67B8">
        <w:rPr>
          <w:b/>
        </w:rPr>
        <w:t>rof Joseph Drew</w:t>
      </w:r>
    </w:p>
    <w:p w14:paraId="16749FE4" w14:textId="2F01EC83" w:rsidR="00E33DF2" w:rsidRDefault="00EB2EA0" w:rsidP="00E25A0D">
      <w:pPr>
        <w:spacing w:line="360" w:lineRule="auto"/>
      </w:pPr>
      <w:r>
        <w:t xml:space="preserve">Office of Local Government Guidelines </w:t>
      </w:r>
      <w:r w:rsidR="00B857E3">
        <w:t>require Councils</w:t>
      </w:r>
      <w:r>
        <w:t xml:space="preserve"> to ‘establish that the proposed rate of increases are affordable having regard to the community’s capacity to pay’ (Office of Local Government, 2020, p. 9). Moreover, from the outset, the Councillors have been keen to understand whether the community does indeed have the capacity to absorb the proposed increases to taxation, required to repair the budget following the very significant cost pressures imposed by the May 2016 forced amalgamation and subsequent rate path freeze.</w:t>
      </w:r>
    </w:p>
    <w:p w14:paraId="221C2987" w14:textId="48475B0C" w:rsidR="00EB2EA0" w:rsidRDefault="00EB2EA0" w:rsidP="00E25A0D">
      <w:pPr>
        <w:spacing w:line="360" w:lineRule="auto"/>
      </w:pPr>
      <w:r>
        <w:t xml:space="preserve">There are various ways to ascertain capacity to pay which range from the common rudimentary approaches taken in most Special Rate Variation (SRV) applications, through to the sophisticated. </w:t>
      </w:r>
      <w:r w:rsidR="00B857E3">
        <w:t>In response to the</w:t>
      </w:r>
      <w:r>
        <w:t xml:space="preserve"> large size of </w:t>
      </w:r>
      <w:r w:rsidR="008A1C44">
        <w:t xml:space="preserve">the </w:t>
      </w:r>
      <w:r>
        <w:t>proposed SRV</w:t>
      </w:r>
      <w:r w:rsidR="00B857E3">
        <w:t xml:space="preserve"> it is appro</w:t>
      </w:r>
      <w:r w:rsidR="00560C06">
        <w:t>priate for this report to detail</w:t>
      </w:r>
      <w:r w:rsidR="00B857E3">
        <w:t xml:space="preserve"> the </w:t>
      </w:r>
      <w:r>
        <w:t>most comprehensive and sophisticate</w:t>
      </w:r>
      <w:r w:rsidR="008A1C44">
        <w:t>d analysis</w:t>
      </w:r>
      <w:r w:rsidR="00B857E3">
        <w:t xml:space="preserve"> possible</w:t>
      </w:r>
      <w:r w:rsidR="008A1C44">
        <w:t>.</w:t>
      </w:r>
    </w:p>
    <w:p w14:paraId="70FB7BA4" w14:textId="1D4555A7" w:rsidR="008A1C44" w:rsidRDefault="008A1C44" w:rsidP="00E25A0D">
      <w:pPr>
        <w:spacing w:line="360" w:lineRule="auto"/>
      </w:pPr>
      <w:r>
        <w:t xml:space="preserve">The report begins with the standard comparison of taxation levels in other OLG 11 local governments, which is the </w:t>
      </w:r>
      <w:r w:rsidR="00B857E3">
        <w:t>category to</w:t>
      </w:r>
      <w:r>
        <w:t xml:space="preserve"> which Cootamundra-Gundagai belongs. This kind of rudimentary comparison only has limited value because it implicitly assumes: (i) that extant taxation rates are both affordable and adequate</w:t>
      </w:r>
      <w:r w:rsidR="00B857E3">
        <w:t xml:space="preserve"> (by no means certain – see, Drew and Dollery, 2015),</w:t>
      </w:r>
      <w:r>
        <w:t xml:space="preserve"> (ii) that the mean is indeed a good measure of central tendency (which it isn’t), and (iii) that the OLG categorisation system is fit-for-purp</w:t>
      </w:r>
      <w:r w:rsidR="00B857E3">
        <w:t>ose (which is not the case</w:t>
      </w:r>
      <w:r>
        <w:t xml:space="preserve">– see Drew and Dollery, </w:t>
      </w:r>
      <w:r w:rsidR="00383304">
        <w:t>2016). Nevertheless</w:t>
      </w:r>
      <w:r w:rsidR="00B857E3">
        <w:t>, despite the clear deficiencies of</w:t>
      </w:r>
      <w:r w:rsidR="00B03B2C">
        <w:t xml:space="preserve"> this </w:t>
      </w:r>
      <w:r w:rsidR="00AA1F6E">
        <w:t>type</w:t>
      </w:r>
      <w:r w:rsidR="00B03B2C">
        <w:t xml:space="preserve"> of approach</w:t>
      </w:r>
      <w:r w:rsidR="00B857E3">
        <w:t>, it does seem to be</w:t>
      </w:r>
      <w:r w:rsidR="00383304">
        <w:t xml:space="preserve"> </w:t>
      </w:r>
      <w:r w:rsidR="00394ECC">
        <w:rPr>
          <w:i/>
        </w:rPr>
        <w:t>de rig</w:t>
      </w:r>
      <w:bookmarkStart w:id="0" w:name="_GoBack"/>
      <w:bookmarkEnd w:id="0"/>
      <w:r w:rsidR="00394ECC">
        <w:rPr>
          <w:i/>
        </w:rPr>
        <w:t>ueu</w:t>
      </w:r>
      <w:r w:rsidR="00383304" w:rsidRPr="00394ECC">
        <w:rPr>
          <w:i/>
        </w:rPr>
        <w:t>r</w:t>
      </w:r>
      <w:r w:rsidR="00383304">
        <w:t xml:space="preserve">, </w:t>
      </w:r>
      <w:r w:rsidR="00B857E3">
        <w:t>thus</w:t>
      </w:r>
      <w:r w:rsidR="00383304">
        <w:t xml:space="preserve"> I commence with </w:t>
      </w:r>
      <w:r w:rsidR="00B03B2C">
        <w:t>this comparison</w:t>
      </w:r>
      <w:r w:rsidR="00383304">
        <w:t>.</w:t>
      </w:r>
    </w:p>
    <w:p w14:paraId="1C3180CB" w14:textId="5A71849D" w:rsidR="00383304" w:rsidRDefault="00383304" w:rsidP="00E25A0D">
      <w:pPr>
        <w:spacing w:line="360" w:lineRule="auto"/>
      </w:pPr>
      <w:r>
        <w:t>I</w:t>
      </w:r>
      <w:r w:rsidR="00B857E3">
        <w:t>n addition, it is</w:t>
      </w:r>
      <w:r w:rsidR="00756D16">
        <w:t xml:space="preserve"> generally considered</w:t>
      </w:r>
      <w:r w:rsidR="00B857E3">
        <w:t xml:space="preserve"> important to </w:t>
      </w:r>
      <w:r>
        <w:t xml:space="preserve">investigate the revenue streams accruing to residents. This is also a rudimentary task </w:t>
      </w:r>
      <w:r w:rsidR="005D2C65">
        <w:t>undertaken</w:t>
      </w:r>
      <w:r>
        <w:t xml:space="preserve"> in most SRV applications. Here one tends to see comparisons of the Socio-Economic Indexes for Areas (SEIFA) compiled </w:t>
      </w:r>
      <w:r w:rsidR="00C01923">
        <w:t xml:space="preserve">in census years. This is not the most helpful approach that might be taken given that: (i) important changes in </w:t>
      </w:r>
      <w:r w:rsidR="00C01923">
        <w:lastRenderedPageBreak/>
        <w:t>inter-censal years will be neglected, (ii) the mathem</w:t>
      </w:r>
      <w:r w:rsidR="00CB7FC7">
        <w:t>atical task of creating</w:t>
      </w:r>
      <w:r w:rsidR="00C01923">
        <w:t xml:space="preserve"> an index necessarily results in the loss of important information</w:t>
      </w:r>
      <w:r w:rsidR="00B857E3">
        <w:t xml:space="preserve"> (see, for example, Coelli et al., 2006)</w:t>
      </w:r>
      <w:r w:rsidR="00C01923">
        <w:t xml:space="preserve">, (iii) such indexes </w:t>
      </w:r>
      <w:r w:rsidR="00756D16">
        <w:t xml:space="preserve">are more likely to </w:t>
      </w:r>
      <w:r w:rsidR="00C01923">
        <w:t>negle</w:t>
      </w:r>
      <w:r w:rsidR="00F856E6">
        <w:t>ct intra-jurisdictional (LGA)</w:t>
      </w:r>
      <w:r w:rsidR="00C01923">
        <w:t xml:space="preserve"> variation, and (iv) the index </w:t>
      </w:r>
      <w:r w:rsidR="00F856E6">
        <w:t xml:space="preserve">does not </w:t>
      </w:r>
      <w:r w:rsidR="00CB7FC7">
        <w:t>really respond to</w:t>
      </w:r>
      <w:r w:rsidR="00F856E6">
        <w:t xml:space="preserve"> two of the three relevant rating categories</w:t>
      </w:r>
      <w:r w:rsidR="00C01923">
        <w:t xml:space="preserve"> (farmland and business respectively). Therefore, I augment this coarse measure with a number of metrics grouped according to their relevance to the three rating categories in operation at Cootamundra-Gundagai.</w:t>
      </w:r>
    </w:p>
    <w:p w14:paraId="199D72A5" w14:textId="465B1C28" w:rsidR="00C01923" w:rsidRDefault="00C01923" w:rsidP="00E25A0D">
      <w:pPr>
        <w:spacing w:line="360" w:lineRule="auto"/>
      </w:pPr>
      <w:r>
        <w:t xml:space="preserve">To understand residential capacity to pay I look at a range of data relating to various welfare receipts, </w:t>
      </w:r>
      <w:r w:rsidR="009F42E1">
        <w:t xml:space="preserve">equivalised household income data, </w:t>
      </w:r>
      <w:r>
        <w:t xml:space="preserve">median wage data, wage inequality data, household stress </w:t>
      </w:r>
      <w:r w:rsidR="00F856E6">
        <w:t>(</w:t>
      </w:r>
      <w:r>
        <w:t>census</w:t>
      </w:r>
      <w:r w:rsidR="00F856E6">
        <w:t>) data, and median house price data.</w:t>
      </w:r>
    </w:p>
    <w:p w14:paraId="273C5D0C" w14:textId="7CF2EB6A" w:rsidR="00C01923" w:rsidRDefault="00C01923" w:rsidP="00E25A0D">
      <w:pPr>
        <w:spacing w:line="360" w:lineRule="auto"/>
      </w:pPr>
      <w:r>
        <w:t>I then analyse unincorporated business data. Unincorporated businesses are operations that are not carried out under a company structure as per the definition in the Corporations Act (CTH, 2001). This data encompasses many small businesses, suppliers of trade services, a</w:t>
      </w:r>
      <w:r w:rsidR="00CB7FC7">
        <w:t xml:space="preserve">nd farm enterprises. Unfortunately, </w:t>
      </w:r>
      <w:r>
        <w:t xml:space="preserve">incorporated business data is not available </w:t>
      </w:r>
      <w:r w:rsidR="00A9178A">
        <w:t xml:space="preserve">on a local government area (LGA) level as this operating structure is often used by </w:t>
      </w:r>
      <w:r w:rsidR="00CB7FC7">
        <w:t>national and multinational firms</w:t>
      </w:r>
      <w:r w:rsidR="00A9178A">
        <w:t xml:space="preserve"> where it would not be practical to record data on such a small scale. </w:t>
      </w:r>
    </w:p>
    <w:p w14:paraId="2CE5D7FC" w14:textId="01830145" w:rsidR="00A9178A" w:rsidRDefault="00A9178A" w:rsidP="00E25A0D">
      <w:pPr>
        <w:spacing w:line="360" w:lineRule="auto"/>
      </w:pPr>
      <w:r>
        <w:t>Following this</w:t>
      </w:r>
      <w:r w:rsidR="00CB7FC7">
        <w:t xml:space="preserve"> analysis of unincorporated business data, I make a study of </w:t>
      </w:r>
      <w:r>
        <w:t xml:space="preserve">agricultural </w:t>
      </w:r>
      <w:r w:rsidR="00CB7FC7">
        <w:t>income</w:t>
      </w:r>
      <w:r>
        <w:t xml:space="preserve"> by employing Australian Bureau of Agricultural and Resource Economics and Sciences (ABARES) data. T</w:t>
      </w:r>
      <w:r w:rsidR="009F42E1">
        <w:t>his is also</w:t>
      </w:r>
      <w:r>
        <w:t xml:space="preserve"> both </w:t>
      </w:r>
      <w:r w:rsidR="00337E34">
        <w:t xml:space="preserve">a </w:t>
      </w:r>
      <w:r>
        <w:t>necessary an</w:t>
      </w:r>
      <w:r w:rsidR="00337E34">
        <w:t>d</w:t>
      </w:r>
      <w:r>
        <w:t xml:space="preserve"> critical</w:t>
      </w:r>
      <w:r w:rsidR="009F42E1">
        <w:t xml:space="preserve"> task to undertake</w:t>
      </w:r>
      <w:r w:rsidR="00337E34">
        <w:t xml:space="preserve"> given that almost half (49.8%) of local government taxation revenue </w:t>
      </w:r>
      <w:r w:rsidR="006D1D4E">
        <w:t xml:space="preserve">collected </w:t>
      </w:r>
      <w:r w:rsidR="00CB7FC7">
        <w:t xml:space="preserve">at Cootamundra-Gundagai in 2019-20 </w:t>
      </w:r>
      <w:r w:rsidR="00337E34">
        <w:t xml:space="preserve">was sourced from the farmland </w:t>
      </w:r>
      <w:r w:rsidR="006D1D4E">
        <w:t>category</w:t>
      </w:r>
      <w:r w:rsidR="00337E34">
        <w:t>. I also provide</w:t>
      </w:r>
      <w:r w:rsidR="00CB7FC7">
        <w:t>,</w:t>
      </w:r>
      <w:r w:rsidR="00337E34">
        <w:t xml:space="preserve"> in an appen</w:t>
      </w:r>
      <w:r w:rsidR="00CB7FC7">
        <w:t>dix, Bureau of Meteorology data</w:t>
      </w:r>
      <w:r w:rsidR="00337E34">
        <w:t xml:space="preserve"> </w:t>
      </w:r>
      <w:r w:rsidR="00CB7FC7">
        <w:t>because rainfall</w:t>
      </w:r>
      <w:r w:rsidR="00337E34">
        <w:t xml:space="preserve"> is the main driver of agricultural production. </w:t>
      </w:r>
    </w:p>
    <w:p w14:paraId="56F7C52D" w14:textId="1F90AC43" w:rsidR="00337E34" w:rsidRDefault="00337E34" w:rsidP="00E25A0D">
      <w:pPr>
        <w:spacing w:line="360" w:lineRule="auto"/>
      </w:pPr>
      <w:r>
        <w:lastRenderedPageBreak/>
        <w:t xml:space="preserve">All of these additional analyses that I conduct provide a much more comprehensive picture of </w:t>
      </w:r>
      <w:r w:rsidR="00653270">
        <w:t>revenue capacity than what</w:t>
      </w:r>
      <w:r>
        <w:t xml:space="preserve"> one generally finds in SRV applications. </w:t>
      </w:r>
    </w:p>
    <w:p w14:paraId="41CA6E89" w14:textId="2FCF520E" w:rsidR="00337E34" w:rsidRDefault="00337E34" w:rsidP="00E25A0D">
      <w:pPr>
        <w:spacing w:line="360" w:lineRule="auto"/>
      </w:pPr>
      <w:r>
        <w:t>However, to have a truly thorough understanding of capacity one</w:t>
      </w:r>
      <w:r w:rsidR="00653270">
        <w:t xml:space="preserve"> also</w:t>
      </w:r>
      <w:r w:rsidR="006D1D4E">
        <w:t xml:space="preserve"> needs to conduct </w:t>
      </w:r>
      <w:r>
        <w:t>more soph</w:t>
      </w:r>
      <w:r w:rsidR="005D2C65">
        <w:t xml:space="preserve">isticated, broader, and deeper </w:t>
      </w:r>
      <w:r w:rsidR="00CB7FC7">
        <w:t xml:space="preserve">empirical </w:t>
      </w:r>
      <w:r>
        <w:t>analysis. Accordingly</w:t>
      </w:r>
      <w:r w:rsidR="006D1D4E">
        <w:t>,</w:t>
      </w:r>
      <w:r>
        <w:t xml:space="preserve"> in the penultimate part of this report</w:t>
      </w:r>
      <w:r w:rsidR="006D1D4E">
        <w:t>,</w:t>
      </w:r>
      <w:r>
        <w:t xml:space="preserve"> I conduct </w:t>
      </w:r>
      <w:r w:rsidR="00CB7FC7">
        <w:t xml:space="preserve">a three-year </w:t>
      </w:r>
      <w:r>
        <w:t>pan</w:t>
      </w:r>
      <w:r w:rsidR="005D2C65">
        <w:t>el multiple regression analysis based on financial and socio-economic data of all rural New South Wales local governments.</w:t>
      </w:r>
    </w:p>
    <w:p w14:paraId="5541A64F" w14:textId="1FC869AF" w:rsidR="00337E34" w:rsidRDefault="00337E34" w:rsidP="00E25A0D">
      <w:pPr>
        <w:spacing w:line="360" w:lineRule="auto"/>
      </w:pPr>
      <w:r>
        <w:t xml:space="preserve">I conclude this report with </w:t>
      </w:r>
      <w:r w:rsidR="00CB7FC7">
        <w:t>a statement regarding the community’s capacity to absorb the proposed special rate variation which is my professional opinion – the quality of which is attested to by over seventy peer reviewed scholarly works in some of the best scholarly journals in the world.</w:t>
      </w:r>
    </w:p>
    <w:p w14:paraId="0DCB9A33" w14:textId="77777777" w:rsidR="00EB2EA0" w:rsidRDefault="00EB2EA0" w:rsidP="00EB2EA0">
      <w:pPr>
        <w:spacing w:line="480" w:lineRule="auto"/>
      </w:pPr>
    </w:p>
    <w:p w14:paraId="04ABDC66" w14:textId="77777777" w:rsidR="006B56E8" w:rsidRDefault="006B56E8">
      <w:pPr>
        <w:rPr>
          <w:b/>
        </w:rPr>
      </w:pPr>
      <w:r>
        <w:rPr>
          <w:b/>
        </w:rPr>
        <w:br w:type="page"/>
      </w:r>
    </w:p>
    <w:p w14:paraId="7D6EBB9C" w14:textId="212429EF" w:rsidR="00AF7BB3" w:rsidRPr="004A6799" w:rsidRDefault="006D1D4E" w:rsidP="00DE5F3C">
      <w:pPr>
        <w:rPr>
          <w:b/>
        </w:rPr>
      </w:pPr>
      <w:r w:rsidRPr="004A6799">
        <w:rPr>
          <w:b/>
        </w:rPr>
        <w:lastRenderedPageBreak/>
        <w:t>2. Comparison of Average Rate</w:t>
      </w:r>
      <w:r w:rsidR="005D2C65">
        <w:rPr>
          <w:b/>
        </w:rPr>
        <w:t>s</w:t>
      </w:r>
      <w:r w:rsidRPr="004A6799">
        <w:rPr>
          <w:b/>
        </w:rPr>
        <w:t>.</w:t>
      </w:r>
    </w:p>
    <w:p w14:paraId="0FC2CFBE" w14:textId="4FEBB163" w:rsidR="006D1D4E" w:rsidRPr="006D1D4E" w:rsidRDefault="006D1D4E" w:rsidP="006D1D4E">
      <w:pPr>
        <w:spacing w:line="360" w:lineRule="auto"/>
        <w:rPr>
          <w:rFonts w:eastAsia="Calibri" w:cs="Times New Roman"/>
        </w:rPr>
      </w:pPr>
      <w:r>
        <w:t xml:space="preserve">Table 1 presents average rate data for the three categories used at Cootamundra-Gundagai Council for the 2020-21 financial year. At the time of writing the most recent data available from the Office of Local Government was for the 2018-19 financial year. The Cootamundra-Gundagai Council data came direct from the </w:t>
      </w:r>
      <w:r w:rsidR="006B56E8">
        <w:t xml:space="preserve">2020-21 </w:t>
      </w:r>
      <w:r>
        <w:t>operational plan. To ensure fair comparisons I multiplied each data point by the appropriate rate cap. For local government</w:t>
      </w:r>
      <w:r w:rsidR="006B56E8">
        <w:t>s</w:t>
      </w:r>
      <w:r>
        <w:t xml:space="preserve"> that had received an SRV during the intervening period, I used the approved SRV increase figure. Moreover, to facilitate quick and accurate comparison I calculated</w:t>
      </w:r>
      <w:r w:rsidR="006B56E8">
        <w:t xml:space="preserve"> common</w:t>
      </w:r>
      <w:r>
        <w:t xml:space="preserve"> measures of central tendency (mea</w:t>
      </w:r>
      <w:r w:rsidR="004A6799">
        <w:t>n, standard deviation, median, Quartile 1, Q</w:t>
      </w:r>
      <w:r>
        <w:t>uartile 3, and inter-quartile range</w:t>
      </w:r>
      <w:r>
        <w:rPr>
          <w:rStyle w:val="FootnoteReference"/>
        </w:rPr>
        <w:footnoteReference w:id="1"/>
      </w:r>
      <w:r>
        <w:t xml:space="preserve">). </w:t>
      </w:r>
    </w:p>
    <w:p w14:paraId="5B55CA38" w14:textId="13BCCD96" w:rsidR="006D1D4E" w:rsidRPr="00AF7BB3" w:rsidRDefault="006D1D4E" w:rsidP="006D1D4E">
      <w:pPr>
        <w:spacing w:line="360" w:lineRule="auto"/>
      </w:pPr>
      <w:r>
        <w:t>As can be seen in Table 1</w:t>
      </w:r>
      <w:r w:rsidR="004A6799">
        <w:t xml:space="preserve">, </w:t>
      </w:r>
      <w:r w:rsidR="000117ED">
        <w:t>the existing average local government taxation levels for each category are far below the average for the OLG11 cohort in all instances. However, it seems that the data is skewed</w:t>
      </w:r>
      <w:r w:rsidR="00013C10">
        <w:t xml:space="preserve"> –</w:t>
      </w:r>
      <w:r w:rsidR="000117ED">
        <w:t xml:space="preserve"> thus only two of the categories are below the median (residential and business respectively).</w:t>
      </w:r>
    </w:p>
    <w:p w14:paraId="2A9EFC81" w14:textId="4BFBD7FF" w:rsidR="00AF7BB3" w:rsidRPr="00AF7BB3" w:rsidRDefault="000117ED" w:rsidP="006D1D4E">
      <w:pPr>
        <w:spacing w:line="360" w:lineRule="auto"/>
      </w:pPr>
      <w:r>
        <w:t>For the reasons I have already described in the introduction to this report</w:t>
      </w:r>
      <w:r w:rsidR="00013C10">
        <w:t>,</w:t>
      </w:r>
      <w:r>
        <w:t xml:space="preserve"> a comparison of extant average taxation levels is not terribly useful, and</w:t>
      </w:r>
      <w:r w:rsidR="00013C10">
        <w:t xml:space="preserve"> indeed may prove misleading. Moreover</w:t>
      </w:r>
      <w:r>
        <w:t>, we need to be mindful of the inevitable distortion to these averages from the most recent land valuations</w:t>
      </w:r>
      <w:r w:rsidR="005D2C65">
        <w:rPr>
          <w:rStyle w:val="FootnoteReference"/>
        </w:rPr>
        <w:footnoteReference w:id="2"/>
      </w:r>
      <w:r w:rsidR="005D2C65">
        <w:t xml:space="preserve">. </w:t>
      </w:r>
      <w:r>
        <w:t xml:space="preserve">Indeed, average rate levels are not a suitable basis for comparison and the OLG would be better served by recording comprehensive summaries of central tendency (similar to Table 1), as well as the actual tax rate in the dollar applied (which is a </w:t>
      </w:r>
      <w:r>
        <w:lastRenderedPageBreak/>
        <w:t>far more appropriate basis of comparison given the natural law foundations of unimproved land value taxation – see Drew, 2020).</w:t>
      </w:r>
    </w:p>
    <w:p w14:paraId="07E234EF" w14:textId="77777777" w:rsidR="00223A8A" w:rsidRDefault="00223A8A">
      <w:pPr>
        <w:rPr>
          <w:b/>
        </w:rPr>
      </w:pPr>
      <w:r>
        <w:rPr>
          <w:b/>
        </w:rPr>
        <w:br w:type="page"/>
      </w:r>
    </w:p>
    <w:p w14:paraId="093E9E0A" w14:textId="1F4A7E76" w:rsidR="00166A25" w:rsidRPr="00D65C5B" w:rsidRDefault="00166A25" w:rsidP="00DE5F3C">
      <w:pPr>
        <w:rPr>
          <w:b/>
        </w:rPr>
      </w:pPr>
      <w:r w:rsidRPr="00D65C5B">
        <w:rPr>
          <w:b/>
        </w:rPr>
        <w:lastRenderedPageBreak/>
        <w:t>Table 1. Comparison of Average Rates, OLG 11 Councils 2020-21.</w:t>
      </w:r>
    </w:p>
    <w:p w14:paraId="4C3B86E7" w14:textId="251FED13" w:rsidR="00E33DF2" w:rsidRDefault="00E33DF2" w:rsidP="00DE5F3C">
      <w:r w:rsidRPr="00E33DF2">
        <w:rPr>
          <w:noProof/>
          <w:lang w:eastAsia="en-AU"/>
        </w:rPr>
        <w:drawing>
          <wp:inline distT="0" distB="0" distL="0" distR="0" wp14:anchorId="7A7C7760" wp14:editId="284E93A2">
            <wp:extent cx="3928110" cy="7450455"/>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7450455"/>
                    </a:xfrm>
                    <a:prstGeom prst="rect">
                      <a:avLst/>
                    </a:prstGeom>
                    <a:noFill/>
                    <a:ln>
                      <a:noFill/>
                    </a:ln>
                  </pic:spPr>
                </pic:pic>
              </a:graphicData>
            </a:graphic>
          </wp:inline>
        </w:drawing>
      </w:r>
    </w:p>
    <w:p w14:paraId="4C8E82BA" w14:textId="69B46CCA" w:rsidR="00E33DF2" w:rsidRDefault="00166A25" w:rsidP="00DE5F3C">
      <w:r>
        <w:t xml:space="preserve">Source: OLG Time Series data 2018-19, with cap and special rate variations applied as appropriate. </w:t>
      </w:r>
    </w:p>
    <w:p w14:paraId="7F5EE971" w14:textId="4BB363A4" w:rsidR="006D1D4E" w:rsidRDefault="006D1D4E" w:rsidP="006D1D4E">
      <w:pPr>
        <w:spacing w:line="360" w:lineRule="auto"/>
      </w:pPr>
      <w:r>
        <w:lastRenderedPageBreak/>
        <w:t>I chart the</w:t>
      </w:r>
      <w:r w:rsidR="00013C10">
        <w:t>se</w:t>
      </w:r>
      <w:r>
        <w:t xml:space="preserve"> key measures of central tendency and spread </w:t>
      </w:r>
      <w:r w:rsidR="004B0E22">
        <w:t>in Figure 2 (please see</w:t>
      </w:r>
      <w:r>
        <w:t xml:space="preserve"> Figure 1 </w:t>
      </w:r>
      <w:r w:rsidR="004B0E22">
        <w:t xml:space="preserve">for a description of how to interpret a box and whisker plot). </w:t>
      </w:r>
      <w:r w:rsidR="00013C10">
        <w:t>Notably, t</w:t>
      </w:r>
      <w:r w:rsidR="004B0E22">
        <w:t xml:space="preserve">he charts for farm and business </w:t>
      </w:r>
      <w:r w:rsidR="00013C10">
        <w:t xml:space="preserve">categories </w:t>
      </w:r>
      <w:r w:rsidR="004B0E22">
        <w:t>clearly show the large spread in this data which makes it difficult to draw meaningful comparisons.</w:t>
      </w:r>
    </w:p>
    <w:p w14:paraId="772E985F" w14:textId="77777777" w:rsidR="006D1D4E" w:rsidRPr="006D1D4E" w:rsidRDefault="006D1D4E" w:rsidP="006D1D4E">
      <w:pPr>
        <w:rPr>
          <w:rFonts w:eastAsia="Calibri" w:cs="Times New Roman"/>
          <w:b/>
        </w:rPr>
      </w:pPr>
      <w:r w:rsidRPr="006D1D4E">
        <w:rPr>
          <w:rFonts w:eastAsia="Calibri" w:cs="Times New Roman"/>
          <w:b/>
        </w:rPr>
        <w:t>Figure 1. Interpreting Box and Whisker Plots</w:t>
      </w:r>
    </w:p>
    <w:p w14:paraId="51986C52" w14:textId="07D006C5" w:rsidR="006D1D4E" w:rsidRPr="006D1D4E" w:rsidRDefault="00540690" w:rsidP="006D1D4E">
      <w:pPr>
        <w:rPr>
          <w:rFonts w:eastAsia="Calibri" w:cs="Times New Roman"/>
        </w:rPr>
      </w:pPr>
      <w:r w:rsidRPr="006D1D4E">
        <w:rPr>
          <w:rFonts w:eastAsia="Calibri" w:cs="Times New Roman"/>
          <w:noProof/>
          <w:lang w:eastAsia="en-AU"/>
        </w:rPr>
        <mc:AlternateContent>
          <mc:Choice Requires="wps">
            <w:drawing>
              <wp:anchor distT="0" distB="0" distL="114300" distR="114300" simplePos="0" relativeHeight="251663360" behindDoc="0" locked="0" layoutInCell="1" allowOverlap="1" wp14:anchorId="5F8070B6" wp14:editId="24B83E51">
                <wp:simplePos x="0" y="0"/>
                <wp:positionH relativeFrom="column">
                  <wp:posOffset>2682239</wp:posOffset>
                </wp:positionH>
                <wp:positionV relativeFrom="paragraph">
                  <wp:posOffset>1867535</wp:posOffset>
                </wp:positionV>
                <wp:extent cx="485775" cy="314325"/>
                <wp:effectExtent l="38100" t="38100" r="28575" b="28575"/>
                <wp:wrapNone/>
                <wp:docPr id="53" name="Straight Arrow Connector 53"/>
                <wp:cNvGraphicFramePr/>
                <a:graphic xmlns:a="http://schemas.openxmlformats.org/drawingml/2006/main">
                  <a:graphicData uri="http://schemas.microsoft.com/office/word/2010/wordprocessingShape">
                    <wps:wsp>
                      <wps:cNvCnPr/>
                      <wps:spPr>
                        <a:xfrm flipH="1" flipV="1">
                          <a:off x="0" y="0"/>
                          <a:ext cx="485775"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72FD5" id="_x0000_t32" coordsize="21600,21600" o:spt="32" o:oned="t" path="m,l21600,21600e" filled="f">
                <v:path arrowok="t" fillok="f" o:connecttype="none"/>
                <o:lock v:ext="edit" shapetype="t"/>
              </v:shapetype>
              <v:shape id="Straight Arrow Connector 53" o:spid="_x0000_s1026" type="#_x0000_t32" style="position:absolute;margin-left:211.2pt;margin-top:147.05pt;width:38.25pt;height:24.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" strokecolor="windowText" strokeweight=".5pt">
                <v:stroke endarrow="block" joinstyle="miter"/>
              </v:shape>
            </w:pict>
          </mc:Fallback>
        </mc:AlternateContent>
      </w:r>
      <w:r w:rsidRPr="006D1D4E">
        <w:rPr>
          <w:rFonts w:eastAsia="Calibri" w:cs="Times New Roman"/>
          <w:noProof/>
          <w:lang w:eastAsia="en-AU"/>
        </w:rPr>
        <mc:AlternateContent>
          <mc:Choice Requires="wps">
            <w:drawing>
              <wp:anchor distT="0" distB="0" distL="114300" distR="114300" simplePos="0" relativeHeight="251669504" behindDoc="0" locked="0" layoutInCell="1" allowOverlap="1" wp14:anchorId="4D0ECE5B" wp14:editId="095BC832">
                <wp:simplePos x="0" y="0"/>
                <wp:positionH relativeFrom="column">
                  <wp:posOffset>3248025</wp:posOffset>
                </wp:positionH>
                <wp:positionV relativeFrom="paragraph">
                  <wp:posOffset>2134870</wp:posOffset>
                </wp:positionV>
                <wp:extent cx="2686050" cy="2571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2686050" cy="257175"/>
                        </a:xfrm>
                        <a:prstGeom prst="rect">
                          <a:avLst/>
                        </a:prstGeom>
                        <a:solidFill>
                          <a:sysClr val="window" lastClr="FFFFFF"/>
                        </a:solidFill>
                        <a:ln w="6350">
                          <a:solidFill>
                            <a:prstClr val="black"/>
                          </a:solidFill>
                        </a:ln>
                      </wps:spPr>
                      <wps:txbx>
                        <w:txbxContent>
                          <w:p w14:paraId="764AC2B9" w14:textId="77777777" w:rsidR="00820798" w:rsidRPr="00002F3E" w:rsidRDefault="00820798" w:rsidP="006D1D4E">
                            <w:pPr>
                              <w:rPr>
                                <w:sz w:val="20"/>
                                <w:szCs w:val="20"/>
                              </w:rPr>
                            </w:pPr>
                            <w:r w:rsidRPr="00002F3E">
                              <w:rPr>
                                <w:sz w:val="20"/>
                                <w:szCs w:val="20"/>
                              </w:rPr>
                              <w:t>Quartile 1 (25% of results below this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ECE5B" id="_x0000_t202" coordsize="21600,21600" o:spt="202" path="m,l,21600r21600,l21600,xe">
                <v:stroke joinstyle="miter"/>
                <v:path gradientshapeok="t" o:connecttype="rect"/>
              </v:shapetype>
              <v:shape id="Text Box 61" o:spid="_x0000_s1026" type="#_x0000_t202" style="position:absolute;margin-left:255.75pt;margin-top:168.1pt;width:211.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" fillcolor="window" strokeweight=".5pt">
                <v:textbox>
                  <w:txbxContent>
                    <w:p w14:paraId="764AC2B9" w14:textId="77777777" w:rsidR="00820798" w:rsidRPr="00002F3E" w:rsidRDefault="00820798" w:rsidP="006D1D4E">
                      <w:pPr>
                        <w:rPr>
                          <w:sz w:val="20"/>
                          <w:szCs w:val="20"/>
                        </w:rPr>
                      </w:pPr>
                      <w:r w:rsidRPr="00002F3E">
                        <w:rPr>
                          <w:sz w:val="20"/>
                          <w:szCs w:val="20"/>
                        </w:rPr>
                        <w:t>Quartile 1 (25% of results below this line)</w:t>
                      </w:r>
                    </w:p>
                  </w:txbxContent>
                </v:textbox>
              </v:shape>
            </w:pict>
          </mc:Fallback>
        </mc:AlternateContent>
      </w:r>
      <w:r w:rsidRPr="006D1D4E">
        <w:rPr>
          <w:rFonts w:eastAsia="Calibri" w:cs="Times New Roman"/>
          <w:noProof/>
          <w:lang w:eastAsia="en-AU"/>
        </w:rPr>
        <mc:AlternateContent>
          <mc:Choice Requires="wps">
            <w:drawing>
              <wp:anchor distT="0" distB="0" distL="114300" distR="114300" simplePos="0" relativeHeight="251664384" behindDoc="0" locked="0" layoutInCell="1" allowOverlap="1" wp14:anchorId="7E41C699" wp14:editId="67DC2C0E">
                <wp:simplePos x="0" y="0"/>
                <wp:positionH relativeFrom="column">
                  <wp:posOffset>2044065</wp:posOffset>
                </wp:positionH>
                <wp:positionV relativeFrom="paragraph">
                  <wp:posOffset>2602865</wp:posOffset>
                </wp:positionV>
                <wp:extent cx="933450" cy="0"/>
                <wp:effectExtent l="38100" t="76200" r="0" b="95250"/>
                <wp:wrapNone/>
                <wp:docPr id="54" name="Straight Arrow Connector 54"/>
                <wp:cNvGraphicFramePr/>
                <a:graphic xmlns:a="http://schemas.openxmlformats.org/drawingml/2006/main">
                  <a:graphicData uri="http://schemas.microsoft.com/office/word/2010/wordprocessingShape">
                    <wps:wsp>
                      <wps:cNvCnPr/>
                      <wps:spPr>
                        <a:xfrm flipH="1" flipV="1">
                          <a:off x="0" y="0"/>
                          <a:ext cx="9334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90316" id="Straight Arrow Connector 54" o:spid="_x0000_s1026" type="#_x0000_t32" style="position:absolute;margin-left:160.95pt;margin-top:204.95pt;width:73.5pt;height: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" strokecolor="windowText" strokeweight=".5pt">
                <v:stroke endarrow="block" joinstyle="miter"/>
              </v:shape>
            </w:pict>
          </mc:Fallback>
        </mc:AlternateContent>
      </w:r>
      <w:r w:rsidRPr="006D1D4E">
        <w:rPr>
          <w:rFonts w:eastAsia="Calibri" w:cs="Times New Roman"/>
          <w:noProof/>
          <w:lang w:eastAsia="en-AU"/>
        </w:rPr>
        <mc:AlternateContent>
          <mc:Choice Requires="wps">
            <w:drawing>
              <wp:anchor distT="0" distB="0" distL="114300" distR="114300" simplePos="0" relativeHeight="251670528" behindDoc="0" locked="0" layoutInCell="1" allowOverlap="1" wp14:anchorId="1FB8F2B5" wp14:editId="53EBF5CF">
                <wp:simplePos x="0" y="0"/>
                <wp:positionH relativeFrom="column">
                  <wp:posOffset>3095625</wp:posOffset>
                </wp:positionH>
                <wp:positionV relativeFrom="paragraph">
                  <wp:posOffset>2475230</wp:posOffset>
                </wp:positionV>
                <wp:extent cx="2895600" cy="304800"/>
                <wp:effectExtent l="0" t="0" r="19050" b="19050"/>
                <wp:wrapNone/>
                <wp:docPr id="62" name="Text Box 62"/>
                <wp:cNvGraphicFramePr/>
                <a:graphic xmlns:a="http://schemas.openxmlformats.org/drawingml/2006/main">
                  <a:graphicData uri="http://schemas.microsoft.com/office/word/2010/wordprocessingShape">
                    <wps:wsp>
                      <wps:cNvSpPr txBox="1"/>
                      <wps:spPr>
                        <a:xfrm>
                          <a:off x="0" y="0"/>
                          <a:ext cx="2895600" cy="304800"/>
                        </a:xfrm>
                        <a:prstGeom prst="rect">
                          <a:avLst/>
                        </a:prstGeom>
                        <a:solidFill>
                          <a:sysClr val="window" lastClr="FFFFFF"/>
                        </a:solidFill>
                        <a:ln w="6350">
                          <a:solidFill>
                            <a:prstClr val="black"/>
                          </a:solidFill>
                        </a:ln>
                      </wps:spPr>
                      <wps:txbx>
                        <w:txbxContent>
                          <w:p w14:paraId="591B176F" w14:textId="77777777" w:rsidR="00820798" w:rsidRPr="00002F3E" w:rsidRDefault="00820798" w:rsidP="006D1D4E">
                            <w:pPr>
                              <w:rPr>
                                <w:sz w:val="20"/>
                                <w:szCs w:val="20"/>
                              </w:rPr>
                            </w:pPr>
                            <w:r w:rsidRPr="00002F3E">
                              <w:rPr>
                                <w:sz w:val="20"/>
                                <w:szCs w:val="20"/>
                              </w:rPr>
                              <w:t>Whisker</w:t>
                            </w:r>
                            <w:r>
                              <w:rPr>
                                <w:sz w:val="20"/>
                                <w:szCs w:val="20"/>
                              </w:rPr>
                              <w:t>s</w:t>
                            </w:r>
                            <w:r w:rsidRPr="00002F3E">
                              <w:rPr>
                                <w:sz w:val="20"/>
                                <w:szCs w:val="20"/>
                              </w:rPr>
                              <w:t xml:space="preserve"> mark atypical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8F2B5" id="Text Box 62" o:spid="_x0000_s1027" type="#_x0000_t202" style="position:absolute;margin-left:243.75pt;margin-top:194.9pt;width:228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" fillcolor="window" strokeweight=".5pt">
                <v:textbox>
                  <w:txbxContent>
                    <w:p w14:paraId="591B176F" w14:textId="77777777" w:rsidR="00820798" w:rsidRPr="00002F3E" w:rsidRDefault="00820798" w:rsidP="006D1D4E">
                      <w:pPr>
                        <w:rPr>
                          <w:sz w:val="20"/>
                          <w:szCs w:val="20"/>
                        </w:rPr>
                      </w:pPr>
                      <w:r w:rsidRPr="00002F3E">
                        <w:rPr>
                          <w:sz w:val="20"/>
                          <w:szCs w:val="20"/>
                        </w:rPr>
                        <w:t>Whisker</w:t>
                      </w:r>
                      <w:r>
                        <w:rPr>
                          <w:sz w:val="20"/>
                          <w:szCs w:val="20"/>
                        </w:rPr>
                        <w:t>s</w:t>
                      </w:r>
                      <w:r w:rsidRPr="00002F3E">
                        <w:rPr>
                          <w:sz w:val="20"/>
                          <w:szCs w:val="20"/>
                        </w:rPr>
                        <w:t xml:space="preserve"> mark atypical results</w:t>
                      </w:r>
                    </w:p>
                  </w:txbxContent>
                </v:textbox>
              </v:shape>
            </w:pict>
          </mc:Fallback>
        </mc:AlternateContent>
      </w:r>
      <w:r w:rsidRPr="006D1D4E">
        <w:rPr>
          <w:rFonts w:eastAsia="Calibri" w:cs="Times New Roman"/>
          <w:noProof/>
          <w:lang w:eastAsia="en-AU"/>
        </w:rPr>
        <mc:AlternateContent>
          <mc:Choice Requires="wps">
            <w:drawing>
              <wp:anchor distT="0" distB="0" distL="114300" distR="114300" simplePos="0" relativeHeight="251659264" behindDoc="0" locked="0" layoutInCell="1" allowOverlap="1" wp14:anchorId="662F522F" wp14:editId="5A1C6918">
                <wp:simplePos x="0" y="0"/>
                <wp:positionH relativeFrom="column">
                  <wp:posOffset>2767964</wp:posOffset>
                </wp:positionH>
                <wp:positionV relativeFrom="paragraph">
                  <wp:posOffset>1657985</wp:posOffset>
                </wp:positionV>
                <wp:extent cx="428625" cy="95250"/>
                <wp:effectExtent l="38100" t="57150" r="28575" b="19050"/>
                <wp:wrapNone/>
                <wp:docPr id="48" name="Straight Arrow Connector 48"/>
                <wp:cNvGraphicFramePr/>
                <a:graphic xmlns:a="http://schemas.openxmlformats.org/drawingml/2006/main">
                  <a:graphicData uri="http://schemas.microsoft.com/office/word/2010/wordprocessingShape">
                    <wps:wsp>
                      <wps:cNvCnPr/>
                      <wps:spPr>
                        <a:xfrm flipH="1" flipV="1">
                          <a:off x="0" y="0"/>
                          <a:ext cx="428625" cy="95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CCE6B" id="Straight Arrow Connector 48" o:spid="_x0000_s1026" type="#_x0000_t32" style="position:absolute;margin-left:217.95pt;margin-top:130.55pt;width:33.75pt;height: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" strokecolor="windowText" strokeweight=".5pt">
                <v:stroke endarrow="block" joinstyle="miter"/>
              </v:shape>
            </w:pict>
          </mc:Fallback>
        </mc:AlternateContent>
      </w:r>
      <w:r w:rsidRPr="006D1D4E">
        <w:rPr>
          <w:rFonts w:eastAsia="Calibri" w:cs="Times New Roman"/>
          <w:noProof/>
          <w:lang w:eastAsia="en-AU"/>
        </w:rPr>
        <mc:AlternateContent>
          <mc:Choice Requires="wps">
            <w:drawing>
              <wp:anchor distT="0" distB="0" distL="114300" distR="114300" simplePos="0" relativeHeight="251668480" behindDoc="0" locked="0" layoutInCell="1" allowOverlap="1" wp14:anchorId="027BF846" wp14:editId="79EF0571">
                <wp:simplePos x="0" y="0"/>
                <wp:positionH relativeFrom="column">
                  <wp:posOffset>3305175</wp:posOffset>
                </wp:positionH>
                <wp:positionV relativeFrom="paragraph">
                  <wp:posOffset>1722755</wp:posOffset>
                </wp:positionV>
                <wp:extent cx="2495550" cy="333375"/>
                <wp:effectExtent l="0" t="0" r="19050" b="28575"/>
                <wp:wrapNone/>
                <wp:docPr id="60" name="Text Box 60"/>
                <wp:cNvGraphicFramePr/>
                <a:graphic xmlns:a="http://schemas.openxmlformats.org/drawingml/2006/main">
                  <a:graphicData uri="http://schemas.microsoft.com/office/word/2010/wordprocessingShape">
                    <wps:wsp>
                      <wps:cNvSpPr txBox="1"/>
                      <wps:spPr>
                        <a:xfrm>
                          <a:off x="0" y="0"/>
                          <a:ext cx="2495550" cy="333375"/>
                        </a:xfrm>
                        <a:prstGeom prst="rect">
                          <a:avLst/>
                        </a:prstGeom>
                        <a:solidFill>
                          <a:sysClr val="window" lastClr="FFFFFF"/>
                        </a:solidFill>
                        <a:ln w="6350">
                          <a:solidFill>
                            <a:prstClr val="black"/>
                          </a:solidFill>
                        </a:ln>
                      </wps:spPr>
                      <wps:txbx>
                        <w:txbxContent>
                          <w:p w14:paraId="2D1D2F84" w14:textId="77777777" w:rsidR="00820798" w:rsidRPr="00A63E84" w:rsidRDefault="00820798" w:rsidP="006D1D4E">
                            <w:pPr>
                              <w:rPr>
                                <w:sz w:val="20"/>
                                <w:szCs w:val="20"/>
                              </w:rPr>
                            </w:pPr>
                            <w:r w:rsidRPr="00A63E84">
                              <w:rPr>
                                <w:sz w:val="20"/>
                                <w:szCs w:val="20"/>
                              </w:rPr>
                              <w:t>Median (50% of results below this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BF846" id="Text Box 60" o:spid="_x0000_s1028" type="#_x0000_t202" style="position:absolute;margin-left:260.25pt;margin-top:135.65pt;width:196.5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" fillcolor="window" strokeweight=".5pt">
                <v:textbox>
                  <w:txbxContent>
                    <w:p w14:paraId="2D1D2F84" w14:textId="77777777" w:rsidR="00820798" w:rsidRPr="00A63E84" w:rsidRDefault="00820798" w:rsidP="006D1D4E">
                      <w:pPr>
                        <w:rPr>
                          <w:sz w:val="20"/>
                          <w:szCs w:val="20"/>
                        </w:rPr>
                      </w:pPr>
                      <w:r w:rsidRPr="00A63E84">
                        <w:rPr>
                          <w:sz w:val="20"/>
                          <w:szCs w:val="20"/>
                        </w:rPr>
                        <w:t>Median (50% of results below this line)</w:t>
                      </w:r>
                    </w:p>
                  </w:txbxContent>
                </v:textbox>
              </v:shape>
            </w:pict>
          </mc:Fallback>
        </mc:AlternateContent>
      </w:r>
      <w:r w:rsidRPr="006D1D4E">
        <w:rPr>
          <w:rFonts w:eastAsia="Calibri" w:cs="Times New Roman"/>
          <w:noProof/>
          <w:lang w:eastAsia="en-AU"/>
        </w:rPr>
        <mc:AlternateContent>
          <mc:Choice Requires="wps">
            <w:drawing>
              <wp:anchor distT="0" distB="0" distL="114300" distR="114300" simplePos="0" relativeHeight="251660288" behindDoc="0" locked="0" layoutInCell="1" allowOverlap="1" wp14:anchorId="35D9CF8C" wp14:editId="51020C5E">
                <wp:simplePos x="0" y="0"/>
                <wp:positionH relativeFrom="column">
                  <wp:posOffset>1748790</wp:posOffset>
                </wp:positionH>
                <wp:positionV relativeFrom="paragraph">
                  <wp:posOffset>1362710</wp:posOffset>
                </wp:positionV>
                <wp:extent cx="1600200" cy="45719"/>
                <wp:effectExtent l="38100" t="38100" r="19050" b="88265"/>
                <wp:wrapNone/>
                <wp:docPr id="49" name="Straight Arrow Connector 49"/>
                <wp:cNvGraphicFramePr/>
                <a:graphic xmlns:a="http://schemas.openxmlformats.org/drawingml/2006/main">
                  <a:graphicData uri="http://schemas.microsoft.com/office/word/2010/wordprocessingShape">
                    <wps:wsp>
                      <wps:cNvCnPr/>
                      <wps:spPr>
                        <a:xfrm flipH="1">
                          <a:off x="0" y="0"/>
                          <a:ext cx="160020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E5FC6" id="Straight Arrow Connector 49" o:spid="_x0000_s1026" type="#_x0000_t32" style="position:absolute;margin-left:137.7pt;margin-top:107.3pt;width:126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" strokecolor="windowText" strokeweight=".5pt">
                <v:stroke endarrow="block" joinstyle="miter"/>
              </v:shape>
            </w:pict>
          </mc:Fallback>
        </mc:AlternateContent>
      </w:r>
      <w:r w:rsidRPr="006D1D4E">
        <w:rPr>
          <w:rFonts w:eastAsia="Calibri" w:cs="Times New Roman"/>
          <w:noProof/>
          <w:lang w:eastAsia="en-AU"/>
        </w:rPr>
        <mc:AlternateContent>
          <mc:Choice Requires="wps">
            <w:drawing>
              <wp:anchor distT="0" distB="0" distL="114300" distR="114300" simplePos="0" relativeHeight="251661312" behindDoc="0" locked="0" layoutInCell="1" allowOverlap="1" wp14:anchorId="51A1BC9D" wp14:editId="0776659E">
                <wp:simplePos x="0" y="0"/>
                <wp:positionH relativeFrom="column">
                  <wp:posOffset>2719705</wp:posOffset>
                </wp:positionH>
                <wp:positionV relativeFrom="paragraph">
                  <wp:posOffset>869315</wp:posOffset>
                </wp:positionV>
                <wp:extent cx="390525" cy="0"/>
                <wp:effectExtent l="38100" t="76200" r="0" b="95250"/>
                <wp:wrapNone/>
                <wp:docPr id="50" name="Straight Arrow Connector 50"/>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2B1A2" id="Straight Arrow Connector 50" o:spid="_x0000_s1026" type="#_x0000_t32" style="position:absolute;margin-left:214.15pt;margin-top:68.45pt;width:30.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" strokecolor="windowText" strokeweight=".5pt">
                <v:stroke endarrow="block" joinstyle="miter"/>
              </v:shape>
            </w:pict>
          </mc:Fallback>
        </mc:AlternateContent>
      </w:r>
      <w:r w:rsidRPr="006D1D4E">
        <w:rPr>
          <w:rFonts w:eastAsia="Calibri" w:cs="Times New Roman"/>
          <w:noProof/>
          <w:lang w:eastAsia="en-AU"/>
        </w:rPr>
        <mc:AlternateContent>
          <mc:Choice Requires="wps">
            <w:drawing>
              <wp:anchor distT="0" distB="0" distL="114300" distR="114300" simplePos="0" relativeHeight="251662336" behindDoc="0" locked="0" layoutInCell="1" allowOverlap="1" wp14:anchorId="6490FD27" wp14:editId="7A3A274E">
                <wp:simplePos x="0" y="0"/>
                <wp:positionH relativeFrom="column">
                  <wp:posOffset>3272790</wp:posOffset>
                </wp:positionH>
                <wp:positionV relativeFrom="paragraph">
                  <wp:posOffset>238760</wp:posOffset>
                </wp:positionV>
                <wp:extent cx="200025" cy="161925"/>
                <wp:effectExtent l="38100" t="0" r="28575" b="47625"/>
                <wp:wrapNone/>
                <wp:docPr id="52" name="Straight Arrow Connector 52"/>
                <wp:cNvGraphicFramePr/>
                <a:graphic xmlns:a="http://schemas.openxmlformats.org/drawingml/2006/main">
                  <a:graphicData uri="http://schemas.microsoft.com/office/word/2010/wordprocessingShape">
                    <wps:wsp>
                      <wps:cNvCnPr/>
                      <wps:spPr>
                        <a:xfrm flipH="1">
                          <a:off x="0" y="0"/>
                          <a:ext cx="200025"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63125" id="Straight Arrow Connector 52" o:spid="_x0000_s1026" type="#_x0000_t32" style="position:absolute;margin-left:257.7pt;margin-top:18.8pt;width:15.75pt;height:1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" strokecolor="windowText" strokeweight=".5pt">
                <v:stroke endarrow="block" joinstyle="miter"/>
              </v:shape>
            </w:pict>
          </mc:Fallback>
        </mc:AlternateContent>
      </w:r>
      <w:r w:rsidR="006D1D4E" w:rsidRPr="006D1D4E">
        <w:rPr>
          <w:rFonts w:eastAsia="Calibri" w:cs="Times New Roman"/>
          <w:noProof/>
          <w:lang w:eastAsia="en-AU"/>
        </w:rPr>
        <mc:AlternateContent>
          <mc:Choice Requires="wps">
            <w:drawing>
              <wp:anchor distT="0" distB="0" distL="114300" distR="114300" simplePos="0" relativeHeight="251667456" behindDoc="0" locked="0" layoutInCell="1" allowOverlap="1" wp14:anchorId="429EE2E1" wp14:editId="6472B71D">
                <wp:simplePos x="0" y="0"/>
                <wp:positionH relativeFrom="column">
                  <wp:posOffset>3400425</wp:posOffset>
                </wp:positionH>
                <wp:positionV relativeFrom="paragraph">
                  <wp:posOffset>1294130</wp:posOffset>
                </wp:positionV>
                <wp:extent cx="2333625" cy="2762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2333625" cy="276225"/>
                        </a:xfrm>
                        <a:prstGeom prst="rect">
                          <a:avLst/>
                        </a:prstGeom>
                        <a:solidFill>
                          <a:sysClr val="window" lastClr="FFFFFF"/>
                        </a:solidFill>
                        <a:ln w="6350">
                          <a:solidFill>
                            <a:prstClr val="black"/>
                          </a:solidFill>
                        </a:ln>
                      </wps:spPr>
                      <wps:txbx>
                        <w:txbxContent>
                          <w:p w14:paraId="53B49B9E" w14:textId="77777777" w:rsidR="00820798" w:rsidRPr="00A63E84" w:rsidRDefault="00820798" w:rsidP="006D1D4E">
                            <w:pPr>
                              <w:rPr>
                                <w:sz w:val="20"/>
                                <w:szCs w:val="20"/>
                              </w:rPr>
                            </w:pPr>
                            <w:r w:rsidRPr="00A63E84">
                              <w:rPr>
                                <w:sz w:val="20"/>
                                <w:szCs w:val="20"/>
                              </w:rPr>
                              <w:t>Mean (average)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EE2E1" id="Text Box 59" o:spid="_x0000_s1029" type="#_x0000_t202" style="position:absolute;margin-left:267.75pt;margin-top:101.9pt;width:183.7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" fillcolor="window" strokeweight=".5pt">
                <v:textbox>
                  <w:txbxContent>
                    <w:p w14:paraId="53B49B9E" w14:textId="77777777" w:rsidR="00820798" w:rsidRPr="00A63E84" w:rsidRDefault="00820798" w:rsidP="006D1D4E">
                      <w:pPr>
                        <w:rPr>
                          <w:sz w:val="20"/>
                          <w:szCs w:val="20"/>
                        </w:rPr>
                      </w:pPr>
                      <w:r w:rsidRPr="00A63E84">
                        <w:rPr>
                          <w:sz w:val="20"/>
                          <w:szCs w:val="20"/>
                        </w:rPr>
                        <w:t>Mean (average)</w:t>
                      </w:r>
                    </w:p>
                  </w:txbxContent>
                </v:textbox>
              </v:shape>
            </w:pict>
          </mc:Fallback>
        </mc:AlternateContent>
      </w:r>
      <w:r w:rsidR="006D1D4E" w:rsidRPr="006D1D4E">
        <w:rPr>
          <w:rFonts w:eastAsia="Calibri" w:cs="Times New Roman"/>
          <w:noProof/>
          <w:lang w:eastAsia="en-AU"/>
        </w:rPr>
        <mc:AlternateContent>
          <mc:Choice Requires="wps">
            <w:drawing>
              <wp:anchor distT="0" distB="0" distL="114300" distR="114300" simplePos="0" relativeHeight="251665408" behindDoc="0" locked="0" layoutInCell="1" allowOverlap="1" wp14:anchorId="1FE7CA86" wp14:editId="1A513B3E">
                <wp:simplePos x="0" y="0"/>
                <wp:positionH relativeFrom="column">
                  <wp:posOffset>3476625</wp:posOffset>
                </wp:positionH>
                <wp:positionV relativeFrom="paragraph">
                  <wp:posOffset>84455</wp:posOffset>
                </wp:positionV>
                <wp:extent cx="2085975" cy="2571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85975" cy="257175"/>
                        </a:xfrm>
                        <a:prstGeom prst="rect">
                          <a:avLst/>
                        </a:prstGeom>
                        <a:solidFill>
                          <a:sysClr val="window" lastClr="FFFFFF"/>
                        </a:solidFill>
                        <a:ln w="6350">
                          <a:solidFill>
                            <a:prstClr val="black"/>
                          </a:solidFill>
                        </a:ln>
                      </wps:spPr>
                      <wps:txbx>
                        <w:txbxContent>
                          <w:p w14:paraId="52C2CCDF" w14:textId="77777777" w:rsidR="00820798" w:rsidRPr="00E21351" w:rsidRDefault="00820798" w:rsidP="006D1D4E">
                            <w:pPr>
                              <w:rPr>
                                <w:sz w:val="20"/>
                                <w:szCs w:val="20"/>
                              </w:rPr>
                            </w:pPr>
                            <w:r w:rsidRPr="00E21351">
                              <w:rPr>
                                <w:sz w:val="20"/>
                                <w:szCs w:val="20"/>
                              </w:rPr>
                              <w:t>Cootamundra-Gundagai’s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7CA86" id="Text Box 57" o:spid="_x0000_s1030" type="#_x0000_t202" style="position:absolute;margin-left:273.75pt;margin-top:6.65pt;width:164.25pt;height: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" fillcolor="window" strokeweight=".5pt">
                <v:textbox>
                  <w:txbxContent>
                    <w:p w14:paraId="52C2CCDF" w14:textId="77777777" w:rsidR="00820798" w:rsidRPr="00E21351" w:rsidRDefault="00820798" w:rsidP="006D1D4E">
                      <w:pPr>
                        <w:rPr>
                          <w:sz w:val="20"/>
                          <w:szCs w:val="20"/>
                        </w:rPr>
                      </w:pPr>
                      <w:r w:rsidRPr="00E21351">
                        <w:rPr>
                          <w:sz w:val="20"/>
                          <w:szCs w:val="20"/>
                        </w:rPr>
                        <w:t>Cootamundra-Gundagai’s result</w:t>
                      </w:r>
                    </w:p>
                  </w:txbxContent>
                </v:textbox>
              </v:shape>
            </w:pict>
          </mc:Fallback>
        </mc:AlternateContent>
      </w:r>
      <w:r w:rsidR="006D1D4E" w:rsidRPr="006D1D4E">
        <w:rPr>
          <w:rFonts w:eastAsia="Calibri" w:cs="Times New Roman"/>
          <w:noProof/>
          <w:lang w:eastAsia="en-AU"/>
        </w:rPr>
        <mc:AlternateContent>
          <mc:Choice Requires="wps">
            <w:drawing>
              <wp:anchor distT="0" distB="0" distL="114300" distR="114300" simplePos="0" relativeHeight="251666432" behindDoc="0" locked="0" layoutInCell="1" allowOverlap="1" wp14:anchorId="395A74B8" wp14:editId="47F941F4">
                <wp:simplePos x="0" y="0"/>
                <wp:positionH relativeFrom="column">
                  <wp:posOffset>3190875</wp:posOffset>
                </wp:positionH>
                <wp:positionV relativeFrom="paragraph">
                  <wp:posOffset>836930</wp:posOffset>
                </wp:positionV>
                <wp:extent cx="2543175" cy="25717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543175" cy="257175"/>
                        </a:xfrm>
                        <a:prstGeom prst="rect">
                          <a:avLst/>
                        </a:prstGeom>
                        <a:solidFill>
                          <a:sysClr val="window" lastClr="FFFFFF"/>
                        </a:solidFill>
                        <a:ln w="6350">
                          <a:solidFill>
                            <a:prstClr val="black"/>
                          </a:solidFill>
                        </a:ln>
                      </wps:spPr>
                      <wps:txbx>
                        <w:txbxContent>
                          <w:p w14:paraId="163A6400" w14:textId="77777777" w:rsidR="00820798" w:rsidRPr="00A63E84" w:rsidRDefault="00820798" w:rsidP="006D1D4E">
                            <w:pPr>
                              <w:rPr>
                                <w:sz w:val="20"/>
                                <w:szCs w:val="20"/>
                              </w:rPr>
                            </w:pPr>
                            <w:r w:rsidRPr="00A63E84">
                              <w:rPr>
                                <w:sz w:val="20"/>
                                <w:szCs w:val="20"/>
                              </w:rPr>
                              <w:t>Quartile 3 (75% of result</w:t>
                            </w:r>
                            <w:r>
                              <w:rPr>
                                <w:sz w:val="20"/>
                                <w:szCs w:val="20"/>
                              </w:rPr>
                              <w:t>s</w:t>
                            </w:r>
                            <w:r w:rsidRPr="00A63E84">
                              <w:rPr>
                                <w:sz w:val="20"/>
                                <w:szCs w:val="20"/>
                              </w:rPr>
                              <w:t xml:space="preserve"> below this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74B8" id="Text Box 58" o:spid="_x0000_s1031" type="#_x0000_t202" style="position:absolute;margin-left:251.25pt;margin-top:65.9pt;width:20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" fillcolor="window" strokeweight=".5pt">
                <v:textbox>
                  <w:txbxContent>
                    <w:p w14:paraId="163A6400" w14:textId="77777777" w:rsidR="00820798" w:rsidRPr="00A63E84" w:rsidRDefault="00820798" w:rsidP="006D1D4E">
                      <w:pPr>
                        <w:rPr>
                          <w:sz w:val="20"/>
                          <w:szCs w:val="20"/>
                        </w:rPr>
                      </w:pPr>
                      <w:r w:rsidRPr="00A63E84">
                        <w:rPr>
                          <w:sz w:val="20"/>
                          <w:szCs w:val="20"/>
                        </w:rPr>
                        <w:t>Quartile 3 (75% of result</w:t>
                      </w:r>
                      <w:r>
                        <w:rPr>
                          <w:sz w:val="20"/>
                          <w:szCs w:val="20"/>
                        </w:rPr>
                        <w:t>s</w:t>
                      </w:r>
                      <w:r w:rsidRPr="00A63E84">
                        <w:rPr>
                          <w:sz w:val="20"/>
                          <w:szCs w:val="20"/>
                        </w:rPr>
                        <w:t xml:space="preserve"> below this line)</w:t>
                      </w:r>
                    </w:p>
                  </w:txbxContent>
                </v:textbox>
              </v:shape>
            </w:pict>
          </mc:Fallback>
        </mc:AlternateContent>
      </w:r>
      <w:r w:rsidR="006D1D4E" w:rsidRPr="006D1D4E">
        <w:rPr>
          <w:rFonts w:eastAsia="Calibri" w:cs="Times New Roman"/>
          <w:noProof/>
          <w:lang w:eastAsia="en-AU"/>
        </w:rPr>
        <mc:AlternateContent>
          <mc:Choice Requires="cx1">
            <w:drawing>
              <wp:inline distT="0" distB="0" distL="0" distR="0" wp14:anchorId="7E95BFAD" wp14:editId="5CEF18A1">
                <wp:extent cx="5430741" cy="3180522"/>
                <wp:effectExtent l="0" t="0" r="17780" b="1270"/>
                <wp:docPr id="46" name="Chart 46">
                  <a:extLst xmlns:a="http://schemas.openxmlformats.org/drawingml/2006/main">
                    <a:ext uri="{FF2B5EF4-FFF2-40B4-BE49-F238E27FC236}">
                      <a16:creationId xmlns:a16="http://schemas.microsoft.com/office/drawing/2014/main" id="{00000000-0008-0000-1200-00002C000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E95BFAD" wp14:editId="5CEF18A1">
                <wp:extent cx="5430741" cy="3180522"/>
                <wp:effectExtent l="0" t="0" r="17780" b="1270"/>
                <wp:docPr id="46" name="Chart 46">
                  <a:extLst xmlns:a="http://schemas.openxmlformats.org/drawingml/2006/main">
                    <a:ext uri="{FF2B5EF4-FFF2-40B4-BE49-F238E27FC236}">
                      <a16:creationId xmlns:a16="http://schemas.microsoft.com/office/drawing/2014/main" id="{00000000-0008-0000-1200-00002C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6" name="Chart 46">
                          <a:extLst>
                            <a:ext uri="{FF2B5EF4-FFF2-40B4-BE49-F238E27FC236}">
                              <a16:creationId xmlns:a16="http://schemas.microsoft.com/office/drawing/2014/main" id="{00000000-0008-0000-1200-00002C000000}"/>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430520" cy="3180080"/>
                        </a:xfrm>
                        <a:prstGeom prst="rect">
                          <a:avLst/>
                        </a:prstGeom>
                      </pic:spPr>
                    </pic:pic>
                  </a:graphicData>
                </a:graphic>
              </wp:inline>
            </w:drawing>
          </mc:Fallback>
        </mc:AlternateContent>
      </w:r>
    </w:p>
    <w:p w14:paraId="2EC5C8CC" w14:textId="578D0CE6" w:rsidR="009C7E45" w:rsidRPr="009C7E45" w:rsidRDefault="009C7E45" w:rsidP="009C7E45">
      <w:pPr>
        <w:spacing w:line="254" w:lineRule="auto"/>
        <w:rPr>
          <w:rFonts w:eastAsia="Calibri" w:cs="Times New Roman"/>
          <w:b/>
        </w:rPr>
      </w:pPr>
      <w:r w:rsidRPr="009C7E45">
        <w:rPr>
          <w:rFonts w:eastAsia="Calibri" w:cs="Times New Roman"/>
          <w:b/>
        </w:rPr>
        <w:t>Figure</w:t>
      </w:r>
      <w:r w:rsidR="006D1D4E">
        <w:rPr>
          <w:rFonts w:eastAsia="Calibri" w:cs="Times New Roman"/>
          <w:b/>
        </w:rPr>
        <w:t xml:space="preserve"> 2</w:t>
      </w:r>
      <w:r w:rsidRPr="009C7E45">
        <w:rPr>
          <w:rFonts w:eastAsia="Calibri" w:cs="Times New Roman"/>
          <w:b/>
        </w:rPr>
        <w:t>. Comparative Rates, 2020-21</w:t>
      </w:r>
    </w:p>
    <w:p w14:paraId="74B5172B" w14:textId="77777777" w:rsidR="009C7E45" w:rsidRPr="009C7E45" w:rsidRDefault="009C7E45" w:rsidP="009C7E45">
      <w:pPr>
        <w:spacing w:line="254" w:lineRule="auto"/>
        <w:rPr>
          <w:rFonts w:eastAsia="Calibri" w:cs="Times New Roman"/>
        </w:rPr>
      </w:pPr>
      <w:r w:rsidRPr="009C7E45">
        <w:rPr>
          <w:rFonts w:eastAsia="Calibri" w:cs="Times New Roman"/>
          <w:noProof/>
          <w:lang w:eastAsia="en-AU"/>
        </w:rPr>
        <mc:AlternateContent>
          <mc:Choice Requires="cx1">
            <w:drawing>
              <wp:inline distT="0" distB="0" distL="0" distR="0" wp14:anchorId="6246BD63" wp14:editId="4EDC670A">
                <wp:extent cx="4572000" cy="3209925"/>
                <wp:effectExtent l="0" t="0" r="0" b="9525"/>
                <wp:docPr id="34" name="Chart 34">
                  <a:extLst xmlns:a="http://schemas.openxmlformats.org/drawingml/2006/main">
                    <a:ext uri="{FF2B5EF4-FFF2-40B4-BE49-F238E27FC236}">
                      <a16:creationId xmlns:a16="http://schemas.microsoft.com/office/drawing/2014/main" id="{ECD38AF3-6F55-41B8-A4B0-ABCC1FA7051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6246BD63" wp14:editId="4EDC670A">
                <wp:extent cx="4572000" cy="3209925"/>
                <wp:effectExtent l="0" t="0" r="0" b="9525"/>
                <wp:docPr id="34" name="Chart 34">
                  <a:extLst xmlns:a="http://schemas.openxmlformats.org/drawingml/2006/main">
                    <a:ext uri="{FF2B5EF4-FFF2-40B4-BE49-F238E27FC236}">
                      <a16:creationId xmlns:a16="http://schemas.microsoft.com/office/drawing/2014/main" id="{ECD38AF3-6F55-41B8-A4B0-ABCC1FA7051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4" name="Chart 34">
                          <a:extLst>
                            <a:ext uri="{FF2B5EF4-FFF2-40B4-BE49-F238E27FC236}">
                              <a16:creationId xmlns:a16="http://schemas.microsoft.com/office/drawing/2014/main" id="{ECD38AF3-6F55-41B8-A4B0-ABCC1FA70517}"/>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4572000" cy="3209925"/>
                        </a:xfrm>
                        <a:prstGeom prst="rect">
                          <a:avLst/>
                        </a:prstGeom>
                      </pic:spPr>
                    </pic:pic>
                  </a:graphicData>
                </a:graphic>
              </wp:inline>
            </w:drawing>
          </mc:Fallback>
        </mc:AlternateContent>
      </w:r>
    </w:p>
    <w:p w14:paraId="31F7B914" w14:textId="2BB42CF6" w:rsidR="009C7E45" w:rsidRPr="004B0E22" w:rsidRDefault="004B0E22" w:rsidP="00E25A0D">
      <w:pPr>
        <w:spacing w:line="360" w:lineRule="auto"/>
      </w:pPr>
      <w:r>
        <w:lastRenderedPageBreak/>
        <w:t xml:space="preserve">When it comes to assessing the capacity of ratepayers to absorb the proposed special rate variation it is helpful to </w:t>
      </w:r>
      <w:r w:rsidR="00223A8A">
        <w:t xml:space="preserve">also </w:t>
      </w:r>
      <w:r>
        <w:t>consider the rates and charges outstanding data from Note 26a of the audited financial statements. As detailed in Figure 3</w:t>
      </w:r>
      <w:r w:rsidR="00013C10">
        <w:t>,</w:t>
      </w:r>
      <w:r>
        <w:t xml:space="preserve"> the levels of outstanding fees and rates has decreased in a relative sense over the last few years. It is now well below the mean for the OLG11 cohort and slightly below the median. This seems to confirm that the community might have additional capacity (although to know this for certain we must</w:t>
      </w:r>
      <w:r w:rsidR="00013C10">
        <w:t xml:space="preserve"> conduct robust empirical work</w:t>
      </w:r>
      <w:r>
        <w:t xml:space="preserve"> of the kind that I undertake in the penultimate section</w:t>
      </w:r>
      <w:r w:rsidR="00940DCA">
        <w:t xml:space="preserve"> of this report</w:t>
      </w:r>
      <w:r>
        <w:t xml:space="preserve">). Cootamundra-Gundagai Council should monitor </w:t>
      </w:r>
      <w:r w:rsidR="00013C10">
        <w:t>the rate and charges outstanding</w:t>
      </w:r>
      <w:r>
        <w:t xml:space="preserve"> metric carefully over the term of the SRV to ensure that its hardship provision</w:t>
      </w:r>
      <w:r w:rsidR="00013C10">
        <w:t>s are working effectively. Indeed it is</w:t>
      </w:r>
      <w:r>
        <w:t xml:space="preserve"> important for all Councils to monitor this outstanding fee and rate data carefully from the second quarter of 2021 onwards, so that they get early warning of the expected cash flow disruptions that will inevitably arrive following scheduled termination of stimulus measures, reinstatement of insolvent trading laws, as well as the winding up of bad and doubtful bank debts.</w:t>
      </w:r>
    </w:p>
    <w:p w14:paraId="797B1B6B" w14:textId="38A3903A" w:rsidR="006C31A7" w:rsidRPr="00DE5F3C" w:rsidRDefault="004B0E22" w:rsidP="006C31A7">
      <w:pPr>
        <w:rPr>
          <w:b/>
        </w:rPr>
      </w:pPr>
      <w:r>
        <w:rPr>
          <w:b/>
        </w:rPr>
        <w:t>Figure 3</w:t>
      </w:r>
      <w:r w:rsidR="006C31A7" w:rsidRPr="002006E8">
        <w:rPr>
          <w:b/>
        </w:rPr>
        <w:t xml:space="preserve">. </w:t>
      </w:r>
      <w:r w:rsidR="006C31A7">
        <w:rPr>
          <w:b/>
        </w:rPr>
        <w:t>Rates and Charges Outstanding</w:t>
      </w:r>
    </w:p>
    <w:p w14:paraId="02D7E21E" w14:textId="77777777" w:rsidR="006C31A7" w:rsidRDefault="006C31A7" w:rsidP="006C31A7">
      <w:r>
        <w:rPr>
          <w:noProof/>
          <w:lang w:eastAsia="en-AU"/>
        </w:rPr>
        <mc:AlternateContent>
          <mc:Choice Requires="cx1">
            <w:drawing>
              <wp:inline distT="0" distB="0" distL="0" distR="0" wp14:anchorId="39DE8804" wp14:editId="2914C80A">
                <wp:extent cx="4562907" cy="3209926"/>
                <wp:effectExtent l="0" t="0" r="9525" b="9525"/>
                <wp:docPr id="12" name="Chart 12">
                  <a:extLst xmlns:a="http://schemas.openxmlformats.org/drawingml/2006/main">
                    <a:ext uri="{FF2B5EF4-FFF2-40B4-BE49-F238E27FC236}">
                      <a16:creationId xmlns:a16="http://schemas.microsoft.com/office/drawing/2014/main" id="{7AA28C21-F2D3-4153-81FB-AA7C825E9F1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9DE8804" wp14:editId="2914C80A">
                <wp:extent cx="4562907" cy="3209926"/>
                <wp:effectExtent l="0" t="0" r="9525" b="9525"/>
                <wp:docPr id="12" name="Chart 12">
                  <a:extLst xmlns:a="http://schemas.openxmlformats.org/drawingml/2006/main">
                    <a:ext uri="{FF2B5EF4-FFF2-40B4-BE49-F238E27FC236}">
                      <a16:creationId xmlns:a16="http://schemas.microsoft.com/office/drawing/2014/main" id="{7AA28C21-F2D3-4153-81FB-AA7C825E9F1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Chart 12">
                          <a:extLst>
                            <a:ext uri="{FF2B5EF4-FFF2-40B4-BE49-F238E27FC236}">
                              <a16:creationId xmlns:a16="http://schemas.microsoft.com/office/drawing/2014/main" id="{7AA28C21-F2D3-4153-81FB-AA7C825E9F19}"/>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4562475" cy="3209925"/>
                        </a:xfrm>
                        <a:prstGeom prst="rect">
                          <a:avLst/>
                        </a:prstGeom>
                      </pic:spPr>
                    </pic:pic>
                  </a:graphicData>
                </a:graphic>
              </wp:inline>
            </w:drawing>
          </mc:Fallback>
        </mc:AlternateContent>
      </w:r>
    </w:p>
    <w:p w14:paraId="2F0A5152" w14:textId="67A59895" w:rsidR="006C31A7" w:rsidRDefault="00473097" w:rsidP="00E25A0D">
      <w:pPr>
        <w:spacing w:line="360" w:lineRule="auto"/>
      </w:pPr>
      <w:r>
        <w:lastRenderedPageBreak/>
        <w:t xml:space="preserve">In sum, the extant levels of average taxation in Cootamundra-Gundagai are </w:t>
      </w:r>
      <w:r w:rsidR="00013C10">
        <w:t xml:space="preserve">significantly </w:t>
      </w:r>
      <w:r>
        <w:t xml:space="preserve">lower than </w:t>
      </w:r>
      <w:r w:rsidR="00013C10">
        <w:t>typical (as measured by the mean)</w:t>
      </w:r>
      <w:r>
        <w:t xml:space="preserve"> for the OLG11 cohort. Moreover, rates and charges outstanding are also lower than typical at Cootamundra-Gundagai. When one combines these observations it seems to point to </w:t>
      </w:r>
      <w:r w:rsidR="00013C10">
        <w:t>a judgement</w:t>
      </w:r>
      <w:r>
        <w:t xml:space="preserve"> that the ratepayers at Cootamundra-Gundagai have capacity to absorb the proposed special rate variation. However, as I have detailed, comparative work based on averages is less than ideal, hence the sections of this report which follow.</w:t>
      </w:r>
    </w:p>
    <w:p w14:paraId="0CFEAB8A" w14:textId="77777777" w:rsidR="00940DCA" w:rsidRDefault="00940DCA">
      <w:pPr>
        <w:rPr>
          <w:b/>
        </w:rPr>
      </w:pPr>
      <w:r>
        <w:rPr>
          <w:b/>
        </w:rPr>
        <w:br w:type="page"/>
      </w:r>
    </w:p>
    <w:p w14:paraId="43DEAF97" w14:textId="670D86F1" w:rsidR="004B0E22" w:rsidRPr="00223A8A" w:rsidRDefault="004B0E22" w:rsidP="006C31A7">
      <w:pPr>
        <w:rPr>
          <w:b/>
        </w:rPr>
      </w:pPr>
      <w:r w:rsidRPr="00223A8A">
        <w:rPr>
          <w:b/>
        </w:rPr>
        <w:lastRenderedPageBreak/>
        <w:t>3. Socio-Economic Indicators.</w:t>
      </w:r>
    </w:p>
    <w:p w14:paraId="580F3EED" w14:textId="5EE14AAF" w:rsidR="001D3599" w:rsidRDefault="004B0E22" w:rsidP="00E25A0D">
      <w:pPr>
        <w:spacing w:line="360" w:lineRule="auto"/>
      </w:pPr>
      <w:r>
        <w:t>Page 10 of the Office of Local Government Guidelines (2020) call for the Independent Pricing and Regulatory Tribunal (IPART) to consider the SEIFA data for the local government area. For the reasons that I have already discussed, this is not a terribly useful exercise and could easily result in the IPART being misled regarding ratep</w:t>
      </w:r>
      <w:r w:rsidR="001D3599">
        <w:t>ayer capacity.</w:t>
      </w:r>
      <w:r>
        <w:t xml:space="preserve"> </w:t>
      </w:r>
      <w:r w:rsidR="001D3599">
        <w:t>As may be known</w:t>
      </w:r>
      <w:r w:rsidR="00B5317B">
        <w:t>,</w:t>
      </w:r>
      <w:r w:rsidR="001D3599">
        <w:t xml:space="preserve"> the SEIFA is actually four different indexes (I believe the Index of Socio-Economic Disadvantage is the most relevant and hence intended by the OLG) and data is reported in the Australian Bureau of Statistics </w:t>
      </w:r>
      <w:r w:rsidR="001D3599" w:rsidRPr="004A6799">
        <w:rPr>
          <w:i/>
        </w:rPr>
        <w:t xml:space="preserve">Data </w:t>
      </w:r>
      <w:r w:rsidR="00A66F34">
        <w:rPr>
          <w:i/>
        </w:rPr>
        <w:t>by</w:t>
      </w:r>
      <w:r w:rsidR="00A66F34" w:rsidRPr="004A6799">
        <w:rPr>
          <w:i/>
        </w:rPr>
        <w:t xml:space="preserve"> </w:t>
      </w:r>
      <w:r w:rsidR="001D3599" w:rsidRPr="004A6799">
        <w:rPr>
          <w:i/>
        </w:rPr>
        <w:t>Region</w:t>
      </w:r>
      <w:r w:rsidR="001D3599">
        <w:t xml:space="preserve"> in terms of deciles (thus making it e</w:t>
      </w:r>
      <w:r w:rsidR="004A6799">
        <w:t>ven less precise</w:t>
      </w:r>
      <w:r w:rsidR="001D3599">
        <w:t>). However, in view of the Guidelines I hav</w:t>
      </w:r>
      <w:r w:rsidR="004A6799">
        <w:t>e set-out</w:t>
      </w:r>
      <w:r w:rsidR="001D3599">
        <w:t xml:space="preserve"> the appropriate SEIFA in Table 2.</w:t>
      </w:r>
    </w:p>
    <w:p w14:paraId="09847E9C" w14:textId="77777777" w:rsidR="00223A8A" w:rsidRDefault="00223A8A">
      <w:pPr>
        <w:rPr>
          <w:b/>
        </w:rPr>
      </w:pPr>
      <w:r>
        <w:rPr>
          <w:b/>
        </w:rPr>
        <w:br w:type="page"/>
      </w:r>
    </w:p>
    <w:p w14:paraId="55C5A319" w14:textId="36522C91" w:rsidR="00E33DF2" w:rsidRPr="00166A25" w:rsidRDefault="00166A25" w:rsidP="00DE5F3C">
      <w:pPr>
        <w:rPr>
          <w:b/>
        </w:rPr>
      </w:pPr>
      <w:r w:rsidRPr="00166A25">
        <w:rPr>
          <w:b/>
        </w:rPr>
        <w:lastRenderedPageBreak/>
        <w:t>Table 2. 2016 Census Data Socio-Economic Indexes for Areas (SEIFA).</w:t>
      </w:r>
    </w:p>
    <w:tbl>
      <w:tblPr>
        <w:tblW w:w="5100" w:type="dxa"/>
        <w:tblLook w:val="04A0" w:firstRow="1" w:lastRow="0" w:firstColumn="1" w:lastColumn="0" w:noHBand="0" w:noVBand="1"/>
      </w:tblPr>
      <w:tblGrid>
        <w:gridCol w:w="3180"/>
        <w:gridCol w:w="1035"/>
        <w:gridCol w:w="960"/>
      </w:tblGrid>
      <w:tr w:rsidR="001D3599" w:rsidRPr="001D3599" w14:paraId="5D1F2947" w14:textId="77777777" w:rsidTr="001D3599">
        <w:trPr>
          <w:trHeight w:val="120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30650" w14:textId="77777777" w:rsidR="001D3599" w:rsidRPr="001D3599" w:rsidRDefault="001D3599" w:rsidP="001D3599">
            <w:pPr>
              <w:spacing w:after="0" w:line="240" w:lineRule="auto"/>
              <w:rPr>
                <w:rFonts w:ascii="Calibri" w:eastAsia="Times New Roman" w:hAnsi="Calibri" w:cs="Calibri"/>
                <w:b/>
                <w:bCs/>
                <w:color w:val="000000"/>
                <w:sz w:val="22"/>
                <w:lang w:eastAsia="en-AU"/>
              </w:rPr>
            </w:pPr>
            <w:r w:rsidRPr="001D3599">
              <w:rPr>
                <w:rFonts w:ascii="Calibri" w:eastAsia="Times New Roman" w:hAnsi="Calibri" w:cs="Calibri"/>
                <w:b/>
                <w:bCs/>
                <w:color w:val="000000"/>
                <w:sz w:val="22"/>
                <w:lang w:eastAsia="en-AU"/>
              </w:rPr>
              <w:t>Council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775CE0E" w14:textId="77777777" w:rsidR="001D3599" w:rsidRPr="001D3599" w:rsidRDefault="001D3599" w:rsidP="001D3599">
            <w:pPr>
              <w:spacing w:after="0" w:line="240" w:lineRule="auto"/>
              <w:rPr>
                <w:rFonts w:ascii="Calibri" w:eastAsia="Times New Roman" w:hAnsi="Calibri" w:cs="Calibri"/>
                <w:b/>
                <w:bCs/>
                <w:color w:val="000000"/>
                <w:sz w:val="22"/>
                <w:lang w:eastAsia="en-AU"/>
              </w:rPr>
            </w:pPr>
            <w:r w:rsidRPr="001D3599">
              <w:rPr>
                <w:rFonts w:ascii="Calibri" w:eastAsia="Times New Roman" w:hAnsi="Calibri" w:cs="Calibri"/>
                <w:b/>
                <w:bCs/>
                <w:color w:val="000000"/>
                <w:sz w:val="22"/>
                <w:lang w:eastAsia="en-AU"/>
              </w:rPr>
              <w:t>SEIFA IRSD Australia Decile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D6EC242" w14:textId="77777777" w:rsidR="001D3599" w:rsidRPr="001D3599" w:rsidRDefault="001D3599" w:rsidP="001D3599">
            <w:pPr>
              <w:spacing w:after="0" w:line="240" w:lineRule="auto"/>
              <w:rPr>
                <w:rFonts w:ascii="Calibri" w:eastAsia="Times New Roman" w:hAnsi="Calibri" w:cs="Calibri"/>
                <w:b/>
                <w:bCs/>
                <w:color w:val="000000"/>
                <w:sz w:val="22"/>
                <w:lang w:eastAsia="en-AU"/>
              </w:rPr>
            </w:pPr>
            <w:r w:rsidRPr="001D3599">
              <w:rPr>
                <w:rFonts w:ascii="Calibri" w:eastAsia="Times New Roman" w:hAnsi="Calibri" w:cs="Calibri"/>
                <w:b/>
                <w:bCs/>
                <w:color w:val="000000"/>
                <w:sz w:val="22"/>
                <w:lang w:eastAsia="en-AU"/>
              </w:rPr>
              <w:t>SEIFA IRSD State Decile</w:t>
            </w:r>
          </w:p>
        </w:tc>
      </w:tr>
      <w:tr w:rsidR="001D3599" w:rsidRPr="001D3599" w14:paraId="2B02C1BE"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F7F77B1"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Bellingen</w:t>
            </w:r>
          </w:p>
        </w:tc>
        <w:tc>
          <w:tcPr>
            <w:tcW w:w="960" w:type="dxa"/>
            <w:tcBorders>
              <w:top w:val="nil"/>
              <w:left w:val="nil"/>
              <w:bottom w:val="single" w:sz="4" w:space="0" w:color="auto"/>
              <w:right w:val="single" w:sz="4" w:space="0" w:color="auto"/>
            </w:tcBorders>
            <w:shd w:val="clear" w:color="auto" w:fill="auto"/>
            <w:noWrap/>
            <w:vAlign w:val="bottom"/>
            <w:hideMark/>
          </w:tcPr>
          <w:p w14:paraId="281F6E2F"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58D2D358"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5</w:t>
            </w:r>
          </w:p>
        </w:tc>
      </w:tr>
      <w:tr w:rsidR="001D3599" w:rsidRPr="001D3599" w14:paraId="16081217"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3CF69A5"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Cabonne</w:t>
            </w:r>
          </w:p>
        </w:tc>
        <w:tc>
          <w:tcPr>
            <w:tcW w:w="960" w:type="dxa"/>
            <w:tcBorders>
              <w:top w:val="nil"/>
              <w:left w:val="nil"/>
              <w:bottom w:val="single" w:sz="4" w:space="0" w:color="auto"/>
              <w:right w:val="single" w:sz="4" w:space="0" w:color="auto"/>
            </w:tcBorders>
            <w:shd w:val="clear" w:color="auto" w:fill="auto"/>
            <w:noWrap/>
            <w:vAlign w:val="bottom"/>
            <w:hideMark/>
          </w:tcPr>
          <w:p w14:paraId="6714ADB0"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8</w:t>
            </w:r>
          </w:p>
        </w:tc>
        <w:tc>
          <w:tcPr>
            <w:tcW w:w="960" w:type="dxa"/>
            <w:tcBorders>
              <w:top w:val="nil"/>
              <w:left w:val="nil"/>
              <w:bottom w:val="single" w:sz="4" w:space="0" w:color="auto"/>
              <w:right w:val="single" w:sz="4" w:space="0" w:color="auto"/>
            </w:tcBorders>
            <w:shd w:val="clear" w:color="auto" w:fill="auto"/>
            <w:noWrap/>
            <w:vAlign w:val="bottom"/>
            <w:hideMark/>
          </w:tcPr>
          <w:p w14:paraId="1F583578"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8</w:t>
            </w:r>
          </w:p>
        </w:tc>
      </w:tr>
      <w:tr w:rsidR="001D3599" w:rsidRPr="001D3599" w14:paraId="4AE47CEB"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FFFFFF"/>
            <w:noWrap/>
            <w:vAlign w:val="bottom"/>
            <w:hideMark/>
          </w:tcPr>
          <w:p w14:paraId="4EAAB97F"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Cootamundra Gundagai</w:t>
            </w:r>
          </w:p>
        </w:tc>
        <w:tc>
          <w:tcPr>
            <w:tcW w:w="960" w:type="dxa"/>
            <w:tcBorders>
              <w:top w:val="nil"/>
              <w:left w:val="nil"/>
              <w:bottom w:val="single" w:sz="4" w:space="0" w:color="auto"/>
              <w:right w:val="single" w:sz="4" w:space="0" w:color="auto"/>
            </w:tcBorders>
            <w:shd w:val="clear" w:color="000000" w:fill="FFFFFF"/>
            <w:noWrap/>
            <w:vAlign w:val="bottom"/>
            <w:hideMark/>
          </w:tcPr>
          <w:p w14:paraId="069B1F5F"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c>
          <w:tcPr>
            <w:tcW w:w="960" w:type="dxa"/>
            <w:tcBorders>
              <w:top w:val="nil"/>
              <w:left w:val="nil"/>
              <w:bottom w:val="single" w:sz="4" w:space="0" w:color="auto"/>
              <w:right w:val="single" w:sz="4" w:space="0" w:color="auto"/>
            </w:tcBorders>
            <w:shd w:val="clear" w:color="000000" w:fill="FFFFFF"/>
            <w:noWrap/>
            <w:vAlign w:val="bottom"/>
            <w:hideMark/>
          </w:tcPr>
          <w:p w14:paraId="080F3803"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r>
      <w:tr w:rsidR="001D3599" w:rsidRPr="001D3599" w14:paraId="549977F5"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A991532"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Cowra</w:t>
            </w:r>
          </w:p>
        </w:tc>
        <w:tc>
          <w:tcPr>
            <w:tcW w:w="960" w:type="dxa"/>
            <w:tcBorders>
              <w:top w:val="nil"/>
              <w:left w:val="nil"/>
              <w:bottom w:val="single" w:sz="4" w:space="0" w:color="auto"/>
              <w:right w:val="single" w:sz="4" w:space="0" w:color="auto"/>
            </w:tcBorders>
            <w:shd w:val="clear" w:color="auto" w:fill="auto"/>
            <w:noWrap/>
            <w:vAlign w:val="bottom"/>
            <w:hideMark/>
          </w:tcPr>
          <w:p w14:paraId="1DCEE021"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247917F9"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w:t>
            </w:r>
          </w:p>
        </w:tc>
      </w:tr>
      <w:tr w:rsidR="001D3599" w:rsidRPr="001D3599" w14:paraId="49F5F610"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E9BDD4E"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Federation</w:t>
            </w:r>
          </w:p>
        </w:tc>
        <w:tc>
          <w:tcPr>
            <w:tcW w:w="960" w:type="dxa"/>
            <w:tcBorders>
              <w:top w:val="nil"/>
              <w:left w:val="nil"/>
              <w:bottom w:val="single" w:sz="4" w:space="0" w:color="auto"/>
              <w:right w:val="single" w:sz="4" w:space="0" w:color="auto"/>
            </w:tcBorders>
            <w:shd w:val="clear" w:color="auto" w:fill="auto"/>
            <w:noWrap/>
            <w:vAlign w:val="bottom"/>
            <w:hideMark/>
          </w:tcPr>
          <w:p w14:paraId="5C85B102"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0FE471FF"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5</w:t>
            </w:r>
          </w:p>
        </w:tc>
      </w:tr>
      <w:tr w:rsidR="001D3599" w:rsidRPr="001D3599" w14:paraId="45E6D114"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BEDA704"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Greater Hume</w:t>
            </w:r>
          </w:p>
        </w:tc>
        <w:tc>
          <w:tcPr>
            <w:tcW w:w="960" w:type="dxa"/>
            <w:tcBorders>
              <w:top w:val="nil"/>
              <w:left w:val="nil"/>
              <w:bottom w:val="single" w:sz="4" w:space="0" w:color="auto"/>
              <w:right w:val="single" w:sz="4" w:space="0" w:color="auto"/>
            </w:tcBorders>
            <w:shd w:val="clear" w:color="auto" w:fill="auto"/>
            <w:noWrap/>
            <w:vAlign w:val="bottom"/>
            <w:hideMark/>
          </w:tcPr>
          <w:p w14:paraId="672D312C"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6</w:t>
            </w:r>
          </w:p>
        </w:tc>
        <w:tc>
          <w:tcPr>
            <w:tcW w:w="960" w:type="dxa"/>
            <w:tcBorders>
              <w:top w:val="nil"/>
              <w:left w:val="nil"/>
              <w:bottom w:val="single" w:sz="4" w:space="0" w:color="auto"/>
              <w:right w:val="single" w:sz="4" w:space="0" w:color="auto"/>
            </w:tcBorders>
            <w:shd w:val="clear" w:color="auto" w:fill="auto"/>
            <w:noWrap/>
            <w:vAlign w:val="bottom"/>
            <w:hideMark/>
          </w:tcPr>
          <w:p w14:paraId="4BC45467"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7</w:t>
            </w:r>
          </w:p>
        </w:tc>
      </w:tr>
      <w:tr w:rsidR="001D3599" w:rsidRPr="001D3599" w14:paraId="59A25766"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2EFC80E"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Gunnedah</w:t>
            </w:r>
          </w:p>
        </w:tc>
        <w:tc>
          <w:tcPr>
            <w:tcW w:w="960" w:type="dxa"/>
            <w:tcBorders>
              <w:top w:val="nil"/>
              <w:left w:val="nil"/>
              <w:bottom w:val="single" w:sz="4" w:space="0" w:color="auto"/>
              <w:right w:val="single" w:sz="4" w:space="0" w:color="auto"/>
            </w:tcBorders>
            <w:shd w:val="clear" w:color="auto" w:fill="auto"/>
            <w:noWrap/>
            <w:vAlign w:val="bottom"/>
            <w:hideMark/>
          </w:tcPr>
          <w:p w14:paraId="03DA881F"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71A4C83A"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r>
      <w:tr w:rsidR="001D3599" w:rsidRPr="001D3599" w14:paraId="5C6DF307"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3FFC77C"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Hilltops</w:t>
            </w:r>
          </w:p>
        </w:tc>
        <w:tc>
          <w:tcPr>
            <w:tcW w:w="960" w:type="dxa"/>
            <w:tcBorders>
              <w:top w:val="nil"/>
              <w:left w:val="nil"/>
              <w:bottom w:val="single" w:sz="4" w:space="0" w:color="auto"/>
              <w:right w:val="single" w:sz="4" w:space="0" w:color="auto"/>
            </w:tcBorders>
            <w:shd w:val="clear" w:color="auto" w:fill="auto"/>
            <w:noWrap/>
            <w:vAlign w:val="bottom"/>
            <w:hideMark/>
          </w:tcPr>
          <w:p w14:paraId="4694BB4F"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52E2A8AE"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r>
      <w:tr w:rsidR="001D3599" w:rsidRPr="001D3599" w14:paraId="00DAEDDB"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11128E4"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Inverell</w:t>
            </w:r>
          </w:p>
        </w:tc>
        <w:tc>
          <w:tcPr>
            <w:tcW w:w="960" w:type="dxa"/>
            <w:tcBorders>
              <w:top w:val="nil"/>
              <w:left w:val="nil"/>
              <w:bottom w:val="single" w:sz="4" w:space="0" w:color="auto"/>
              <w:right w:val="single" w:sz="4" w:space="0" w:color="auto"/>
            </w:tcBorders>
            <w:shd w:val="clear" w:color="auto" w:fill="auto"/>
            <w:noWrap/>
            <w:vAlign w:val="bottom"/>
            <w:hideMark/>
          </w:tcPr>
          <w:p w14:paraId="0A5A6209"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486FB761"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w:t>
            </w:r>
          </w:p>
        </w:tc>
      </w:tr>
      <w:tr w:rsidR="001D3599" w:rsidRPr="001D3599" w14:paraId="42306450"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9E38BAD"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Leeton</w:t>
            </w:r>
          </w:p>
        </w:tc>
        <w:tc>
          <w:tcPr>
            <w:tcW w:w="960" w:type="dxa"/>
            <w:tcBorders>
              <w:top w:val="nil"/>
              <w:left w:val="nil"/>
              <w:bottom w:val="single" w:sz="4" w:space="0" w:color="auto"/>
              <w:right w:val="single" w:sz="4" w:space="0" w:color="auto"/>
            </w:tcBorders>
            <w:shd w:val="clear" w:color="auto" w:fill="auto"/>
            <w:noWrap/>
            <w:vAlign w:val="bottom"/>
            <w:hideMark/>
          </w:tcPr>
          <w:p w14:paraId="597250A0"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118BFB32"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r>
      <w:tr w:rsidR="001D3599" w:rsidRPr="001D3599" w14:paraId="2BFE69BF"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5851EE9"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Moree Plains</w:t>
            </w:r>
          </w:p>
        </w:tc>
        <w:tc>
          <w:tcPr>
            <w:tcW w:w="960" w:type="dxa"/>
            <w:tcBorders>
              <w:top w:val="nil"/>
              <w:left w:val="nil"/>
              <w:bottom w:val="single" w:sz="4" w:space="0" w:color="auto"/>
              <w:right w:val="single" w:sz="4" w:space="0" w:color="auto"/>
            </w:tcBorders>
            <w:shd w:val="clear" w:color="auto" w:fill="auto"/>
            <w:noWrap/>
            <w:vAlign w:val="bottom"/>
            <w:hideMark/>
          </w:tcPr>
          <w:p w14:paraId="6EFFC648"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656698BD"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w:t>
            </w:r>
          </w:p>
        </w:tc>
      </w:tr>
      <w:tr w:rsidR="001D3599" w:rsidRPr="001D3599" w14:paraId="056EBF08"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A2B8B1E"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Murray River</w:t>
            </w:r>
          </w:p>
        </w:tc>
        <w:tc>
          <w:tcPr>
            <w:tcW w:w="960" w:type="dxa"/>
            <w:tcBorders>
              <w:top w:val="nil"/>
              <w:left w:val="nil"/>
              <w:bottom w:val="single" w:sz="4" w:space="0" w:color="auto"/>
              <w:right w:val="single" w:sz="4" w:space="0" w:color="auto"/>
            </w:tcBorders>
            <w:shd w:val="clear" w:color="auto" w:fill="auto"/>
            <w:noWrap/>
            <w:vAlign w:val="bottom"/>
            <w:hideMark/>
          </w:tcPr>
          <w:p w14:paraId="5384E9B8"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7</w:t>
            </w:r>
          </w:p>
        </w:tc>
        <w:tc>
          <w:tcPr>
            <w:tcW w:w="960" w:type="dxa"/>
            <w:tcBorders>
              <w:top w:val="nil"/>
              <w:left w:val="nil"/>
              <w:bottom w:val="single" w:sz="4" w:space="0" w:color="auto"/>
              <w:right w:val="single" w:sz="4" w:space="0" w:color="auto"/>
            </w:tcBorders>
            <w:shd w:val="clear" w:color="auto" w:fill="auto"/>
            <w:noWrap/>
            <w:vAlign w:val="bottom"/>
            <w:hideMark/>
          </w:tcPr>
          <w:p w14:paraId="2D07204C"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7</w:t>
            </w:r>
          </w:p>
        </w:tc>
      </w:tr>
      <w:tr w:rsidR="001D3599" w:rsidRPr="001D3599" w14:paraId="57BACEC5"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4A34AF6"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Muswellbrook</w:t>
            </w:r>
          </w:p>
        </w:tc>
        <w:tc>
          <w:tcPr>
            <w:tcW w:w="960" w:type="dxa"/>
            <w:tcBorders>
              <w:top w:val="nil"/>
              <w:left w:val="nil"/>
              <w:bottom w:val="single" w:sz="4" w:space="0" w:color="auto"/>
              <w:right w:val="single" w:sz="4" w:space="0" w:color="auto"/>
            </w:tcBorders>
            <w:shd w:val="clear" w:color="auto" w:fill="auto"/>
            <w:noWrap/>
            <w:vAlign w:val="bottom"/>
            <w:hideMark/>
          </w:tcPr>
          <w:p w14:paraId="077F6390"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3D1B3486"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r>
      <w:tr w:rsidR="001D3599" w:rsidRPr="001D3599" w14:paraId="2A439FD5"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49B5075"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Nambucca</w:t>
            </w:r>
          </w:p>
        </w:tc>
        <w:tc>
          <w:tcPr>
            <w:tcW w:w="960" w:type="dxa"/>
            <w:tcBorders>
              <w:top w:val="nil"/>
              <w:left w:val="nil"/>
              <w:bottom w:val="single" w:sz="4" w:space="0" w:color="auto"/>
              <w:right w:val="single" w:sz="4" w:space="0" w:color="auto"/>
            </w:tcBorders>
            <w:shd w:val="clear" w:color="auto" w:fill="auto"/>
            <w:noWrap/>
            <w:vAlign w:val="bottom"/>
            <w:hideMark/>
          </w:tcPr>
          <w:p w14:paraId="456A59C4"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w:t>
            </w:r>
          </w:p>
        </w:tc>
        <w:tc>
          <w:tcPr>
            <w:tcW w:w="960" w:type="dxa"/>
            <w:tcBorders>
              <w:top w:val="nil"/>
              <w:left w:val="nil"/>
              <w:bottom w:val="single" w:sz="4" w:space="0" w:color="auto"/>
              <w:right w:val="single" w:sz="4" w:space="0" w:color="auto"/>
            </w:tcBorders>
            <w:shd w:val="clear" w:color="auto" w:fill="auto"/>
            <w:noWrap/>
            <w:vAlign w:val="bottom"/>
            <w:hideMark/>
          </w:tcPr>
          <w:p w14:paraId="1C029610"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1</w:t>
            </w:r>
          </w:p>
        </w:tc>
      </w:tr>
      <w:tr w:rsidR="001D3599" w:rsidRPr="001D3599" w14:paraId="4544600C"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F5774CF"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Narrabri</w:t>
            </w:r>
          </w:p>
        </w:tc>
        <w:tc>
          <w:tcPr>
            <w:tcW w:w="960" w:type="dxa"/>
            <w:tcBorders>
              <w:top w:val="nil"/>
              <w:left w:val="nil"/>
              <w:bottom w:val="single" w:sz="4" w:space="0" w:color="auto"/>
              <w:right w:val="single" w:sz="4" w:space="0" w:color="auto"/>
            </w:tcBorders>
            <w:shd w:val="clear" w:color="auto" w:fill="auto"/>
            <w:noWrap/>
            <w:vAlign w:val="bottom"/>
            <w:hideMark/>
          </w:tcPr>
          <w:p w14:paraId="59291F83"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19AAB73D"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r>
      <w:tr w:rsidR="001D3599" w:rsidRPr="001D3599" w14:paraId="3AB1F1D3"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B2591BC"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Parkes</w:t>
            </w:r>
          </w:p>
        </w:tc>
        <w:tc>
          <w:tcPr>
            <w:tcW w:w="960" w:type="dxa"/>
            <w:tcBorders>
              <w:top w:val="nil"/>
              <w:left w:val="nil"/>
              <w:bottom w:val="single" w:sz="4" w:space="0" w:color="auto"/>
              <w:right w:val="single" w:sz="4" w:space="0" w:color="auto"/>
            </w:tcBorders>
            <w:shd w:val="clear" w:color="auto" w:fill="auto"/>
            <w:noWrap/>
            <w:vAlign w:val="bottom"/>
            <w:hideMark/>
          </w:tcPr>
          <w:p w14:paraId="1B54D049"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1FC74515"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r>
      <w:tr w:rsidR="001D3599" w:rsidRPr="001D3599" w14:paraId="245BF2C0"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796F229"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Snowy Valleys</w:t>
            </w:r>
          </w:p>
        </w:tc>
        <w:tc>
          <w:tcPr>
            <w:tcW w:w="960" w:type="dxa"/>
            <w:tcBorders>
              <w:top w:val="nil"/>
              <w:left w:val="nil"/>
              <w:bottom w:val="single" w:sz="4" w:space="0" w:color="auto"/>
              <w:right w:val="single" w:sz="4" w:space="0" w:color="auto"/>
            </w:tcBorders>
            <w:shd w:val="clear" w:color="auto" w:fill="auto"/>
            <w:noWrap/>
            <w:vAlign w:val="bottom"/>
            <w:hideMark/>
          </w:tcPr>
          <w:p w14:paraId="54D4E5CF"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c>
          <w:tcPr>
            <w:tcW w:w="960" w:type="dxa"/>
            <w:tcBorders>
              <w:top w:val="nil"/>
              <w:left w:val="nil"/>
              <w:bottom w:val="single" w:sz="4" w:space="0" w:color="auto"/>
              <w:right w:val="single" w:sz="4" w:space="0" w:color="auto"/>
            </w:tcBorders>
            <w:shd w:val="clear" w:color="auto" w:fill="auto"/>
            <w:noWrap/>
            <w:vAlign w:val="bottom"/>
            <w:hideMark/>
          </w:tcPr>
          <w:p w14:paraId="06812B04"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w:t>
            </w:r>
          </w:p>
        </w:tc>
      </w:tr>
      <w:tr w:rsidR="001D3599" w:rsidRPr="001D3599" w14:paraId="6B393C94"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67C6F5C"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Upper Hunter</w:t>
            </w:r>
          </w:p>
        </w:tc>
        <w:tc>
          <w:tcPr>
            <w:tcW w:w="960" w:type="dxa"/>
            <w:tcBorders>
              <w:top w:val="nil"/>
              <w:left w:val="nil"/>
              <w:bottom w:val="single" w:sz="4" w:space="0" w:color="auto"/>
              <w:right w:val="single" w:sz="4" w:space="0" w:color="auto"/>
            </w:tcBorders>
            <w:shd w:val="clear" w:color="auto" w:fill="auto"/>
            <w:noWrap/>
            <w:vAlign w:val="bottom"/>
            <w:hideMark/>
          </w:tcPr>
          <w:p w14:paraId="1EC924CB"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6</w:t>
            </w:r>
          </w:p>
        </w:tc>
        <w:tc>
          <w:tcPr>
            <w:tcW w:w="960" w:type="dxa"/>
            <w:tcBorders>
              <w:top w:val="nil"/>
              <w:left w:val="nil"/>
              <w:bottom w:val="single" w:sz="4" w:space="0" w:color="auto"/>
              <w:right w:val="single" w:sz="4" w:space="0" w:color="auto"/>
            </w:tcBorders>
            <w:shd w:val="clear" w:color="auto" w:fill="auto"/>
            <w:noWrap/>
            <w:vAlign w:val="bottom"/>
            <w:hideMark/>
          </w:tcPr>
          <w:p w14:paraId="259549B4"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6</w:t>
            </w:r>
          </w:p>
        </w:tc>
      </w:tr>
      <w:tr w:rsidR="001D3599" w:rsidRPr="001D3599" w14:paraId="49F50E99" w14:textId="77777777" w:rsidTr="001D359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DD5F0D4"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Yass Valley</w:t>
            </w:r>
          </w:p>
        </w:tc>
        <w:tc>
          <w:tcPr>
            <w:tcW w:w="960" w:type="dxa"/>
            <w:tcBorders>
              <w:top w:val="nil"/>
              <w:left w:val="nil"/>
              <w:bottom w:val="single" w:sz="4" w:space="0" w:color="auto"/>
              <w:right w:val="single" w:sz="4" w:space="0" w:color="auto"/>
            </w:tcBorders>
            <w:shd w:val="clear" w:color="auto" w:fill="auto"/>
            <w:noWrap/>
            <w:vAlign w:val="bottom"/>
            <w:hideMark/>
          </w:tcPr>
          <w:p w14:paraId="6384C09E"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10</w:t>
            </w:r>
          </w:p>
        </w:tc>
        <w:tc>
          <w:tcPr>
            <w:tcW w:w="960" w:type="dxa"/>
            <w:tcBorders>
              <w:top w:val="nil"/>
              <w:left w:val="nil"/>
              <w:bottom w:val="single" w:sz="4" w:space="0" w:color="auto"/>
              <w:right w:val="single" w:sz="4" w:space="0" w:color="auto"/>
            </w:tcBorders>
            <w:shd w:val="clear" w:color="auto" w:fill="auto"/>
            <w:noWrap/>
            <w:vAlign w:val="bottom"/>
            <w:hideMark/>
          </w:tcPr>
          <w:p w14:paraId="76DE51CD"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9</w:t>
            </w:r>
          </w:p>
        </w:tc>
      </w:tr>
      <w:tr w:rsidR="001D3599" w:rsidRPr="001D3599" w14:paraId="7189DE7C"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593DD76D"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Average</w:t>
            </w:r>
          </w:p>
        </w:tc>
        <w:tc>
          <w:tcPr>
            <w:tcW w:w="960" w:type="dxa"/>
            <w:tcBorders>
              <w:top w:val="nil"/>
              <w:left w:val="nil"/>
              <w:bottom w:val="single" w:sz="4" w:space="0" w:color="auto"/>
              <w:right w:val="single" w:sz="4" w:space="0" w:color="auto"/>
            </w:tcBorders>
            <w:shd w:val="clear" w:color="000000" w:fill="FFFFCC"/>
            <w:noWrap/>
            <w:vAlign w:val="bottom"/>
            <w:hideMark/>
          </w:tcPr>
          <w:p w14:paraId="347E5441"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4.4</w:t>
            </w:r>
          </w:p>
        </w:tc>
        <w:tc>
          <w:tcPr>
            <w:tcW w:w="960" w:type="dxa"/>
            <w:tcBorders>
              <w:top w:val="nil"/>
              <w:left w:val="nil"/>
              <w:bottom w:val="single" w:sz="4" w:space="0" w:color="auto"/>
              <w:right w:val="single" w:sz="4" w:space="0" w:color="auto"/>
            </w:tcBorders>
            <w:shd w:val="clear" w:color="000000" w:fill="FFFFCC"/>
            <w:noWrap/>
            <w:vAlign w:val="bottom"/>
            <w:hideMark/>
          </w:tcPr>
          <w:p w14:paraId="6D730B6A"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4.3</w:t>
            </w:r>
          </w:p>
        </w:tc>
      </w:tr>
      <w:tr w:rsidR="001D3599" w:rsidRPr="001D3599" w14:paraId="3EB80B4F"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51293A59"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Standard Deviation</w:t>
            </w:r>
          </w:p>
        </w:tc>
        <w:tc>
          <w:tcPr>
            <w:tcW w:w="960" w:type="dxa"/>
            <w:tcBorders>
              <w:top w:val="nil"/>
              <w:left w:val="nil"/>
              <w:bottom w:val="single" w:sz="4" w:space="0" w:color="auto"/>
              <w:right w:val="single" w:sz="4" w:space="0" w:color="auto"/>
            </w:tcBorders>
            <w:shd w:val="clear" w:color="000000" w:fill="FFFFCC"/>
            <w:noWrap/>
            <w:vAlign w:val="bottom"/>
            <w:hideMark/>
          </w:tcPr>
          <w:p w14:paraId="35B0598D"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2.1</w:t>
            </w:r>
          </w:p>
        </w:tc>
        <w:tc>
          <w:tcPr>
            <w:tcW w:w="960" w:type="dxa"/>
            <w:tcBorders>
              <w:top w:val="nil"/>
              <w:left w:val="nil"/>
              <w:bottom w:val="single" w:sz="4" w:space="0" w:color="auto"/>
              <w:right w:val="single" w:sz="4" w:space="0" w:color="auto"/>
            </w:tcBorders>
            <w:shd w:val="clear" w:color="000000" w:fill="FFFFCC"/>
            <w:noWrap/>
            <w:vAlign w:val="bottom"/>
            <w:hideMark/>
          </w:tcPr>
          <w:p w14:paraId="49683B4E"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2.2</w:t>
            </w:r>
          </w:p>
        </w:tc>
      </w:tr>
      <w:tr w:rsidR="001D3599" w:rsidRPr="001D3599" w14:paraId="11F36EE3"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3596A5B9"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Median</w:t>
            </w:r>
          </w:p>
        </w:tc>
        <w:tc>
          <w:tcPr>
            <w:tcW w:w="960" w:type="dxa"/>
            <w:tcBorders>
              <w:top w:val="nil"/>
              <w:left w:val="nil"/>
              <w:bottom w:val="single" w:sz="4" w:space="0" w:color="auto"/>
              <w:right w:val="single" w:sz="4" w:space="0" w:color="auto"/>
            </w:tcBorders>
            <w:shd w:val="clear" w:color="000000" w:fill="FFFFCC"/>
            <w:noWrap/>
            <w:vAlign w:val="bottom"/>
            <w:hideMark/>
          </w:tcPr>
          <w:p w14:paraId="6F6083BE"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4.0</w:t>
            </w:r>
          </w:p>
        </w:tc>
        <w:tc>
          <w:tcPr>
            <w:tcW w:w="960" w:type="dxa"/>
            <w:tcBorders>
              <w:top w:val="nil"/>
              <w:left w:val="nil"/>
              <w:bottom w:val="single" w:sz="4" w:space="0" w:color="auto"/>
              <w:right w:val="single" w:sz="4" w:space="0" w:color="auto"/>
            </w:tcBorders>
            <w:shd w:val="clear" w:color="000000" w:fill="FFFFCC"/>
            <w:noWrap/>
            <w:vAlign w:val="bottom"/>
            <w:hideMark/>
          </w:tcPr>
          <w:p w14:paraId="64AB128C"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4.0</w:t>
            </w:r>
          </w:p>
        </w:tc>
      </w:tr>
      <w:tr w:rsidR="001D3599" w:rsidRPr="001D3599" w14:paraId="42B45B8A"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42F1AEC4"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Quartile 1</w:t>
            </w:r>
          </w:p>
        </w:tc>
        <w:tc>
          <w:tcPr>
            <w:tcW w:w="960" w:type="dxa"/>
            <w:tcBorders>
              <w:top w:val="nil"/>
              <w:left w:val="nil"/>
              <w:bottom w:val="single" w:sz="4" w:space="0" w:color="auto"/>
              <w:right w:val="single" w:sz="4" w:space="0" w:color="auto"/>
            </w:tcBorders>
            <w:shd w:val="clear" w:color="000000" w:fill="FFFFCC"/>
            <w:noWrap/>
            <w:vAlign w:val="bottom"/>
            <w:hideMark/>
          </w:tcPr>
          <w:p w14:paraId="4CCA66CD"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3.0</w:t>
            </w:r>
          </w:p>
        </w:tc>
        <w:tc>
          <w:tcPr>
            <w:tcW w:w="960" w:type="dxa"/>
            <w:tcBorders>
              <w:top w:val="nil"/>
              <w:left w:val="nil"/>
              <w:bottom w:val="single" w:sz="4" w:space="0" w:color="auto"/>
              <w:right w:val="single" w:sz="4" w:space="0" w:color="auto"/>
            </w:tcBorders>
            <w:shd w:val="clear" w:color="000000" w:fill="FFFFCC"/>
            <w:noWrap/>
            <w:vAlign w:val="bottom"/>
            <w:hideMark/>
          </w:tcPr>
          <w:p w14:paraId="0BD698E6"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3.0</w:t>
            </w:r>
          </w:p>
        </w:tc>
      </w:tr>
      <w:tr w:rsidR="001D3599" w:rsidRPr="001D3599" w14:paraId="379D3F55"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1C288883"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Quartile 3</w:t>
            </w:r>
          </w:p>
        </w:tc>
        <w:tc>
          <w:tcPr>
            <w:tcW w:w="960" w:type="dxa"/>
            <w:tcBorders>
              <w:top w:val="nil"/>
              <w:left w:val="nil"/>
              <w:bottom w:val="single" w:sz="4" w:space="0" w:color="auto"/>
              <w:right w:val="single" w:sz="4" w:space="0" w:color="auto"/>
            </w:tcBorders>
            <w:shd w:val="clear" w:color="000000" w:fill="FFFFCC"/>
            <w:noWrap/>
            <w:vAlign w:val="bottom"/>
            <w:hideMark/>
          </w:tcPr>
          <w:p w14:paraId="5A09D916"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5.5</w:t>
            </w:r>
          </w:p>
        </w:tc>
        <w:tc>
          <w:tcPr>
            <w:tcW w:w="960" w:type="dxa"/>
            <w:tcBorders>
              <w:top w:val="nil"/>
              <w:left w:val="nil"/>
              <w:bottom w:val="single" w:sz="4" w:space="0" w:color="auto"/>
              <w:right w:val="single" w:sz="4" w:space="0" w:color="auto"/>
            </w:tcBorders>
            <w:shd w:val="clear" w:color="000000" w:fill="FFFFCC"/>
            <w:noWrap/>
            <w:vAlign w:val="bottom"/>
            <w:hideMark/>
          </w:tcPr>
          <w:p w14:paraId="46DA167B"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5.5</w:t>
            </w:r>
          </w:p>
        </w:tc>
      </w:tr>
      <w:tr w:rsidR="001D3599" w:rsidRPr="001D3599" w14:paraId="768A08AB"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269360C5"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Interquartile Range</w:t>
            </w:r>
          </w:p>
        </w:tc>
        <w:tc>
          <w:tcPr>
            <w:tcW w:w="960" w:type="dxa"/>
            <w:tcBorders>
              <w:top w:val="nil"/>
              <w:left w:val="nil"/>
              <w:bottom w:val="single" w:sz="4" w:space="0" w:color="auto"/>
              <w:right w:val="single" w:sz="4" w:space="0" w:color="auto"/>
            </w:tcBorders>
            <w:shd w:val="clear" w:color="000000" w:fill="FFFFCC"/>
            <w:noWrap/>
            <w:vAlign w:val="bottom"/>
            <w:hideMark/>
          </w:tcPr>
          <w:p w14:paraId="7EF42494"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2.5</w:t>
            </w:r>
          </w:p>
        </w:tc>
        <w:tc>
          <w:tcPr>
            <w:tcW w:w="960" w:type="dxa"/>
            <w:tcBorders>
              <w:top w:val="nil"/>
              <w:left w:val="nil"/>
              <w:bottom w:val="single" w:sz="4" w:space="0" w:color="auto"/>
              <w:right w:val="single" w:sz="4" w:space="0" w:color="auto"/>
            </w:tcBorders>
            <w:shd w:val="clear" w:color="000000" w:fill="FFFFCC"/>
            <w:noWrap/>
            <w:vAlign w:val="bottom"/>
            <w:hideMark/>
          </w:tcPr>
          <w:p w14:paraId="772C38C0"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2.5</w:t>
            </w:r>
          </w:p>
        </w:tc>
      </w:tr>
      <w:tr w:rsidR="001D3599" w:rsidRPr="001D3599" w14:paraId="28C7BC34" w14:textId="77777777" w:rsidTr="001D3599">
        <w:trPr>
          <w:trHeight w:val="300"/>
        </w:trPr>
        <w:tc>
          <w:tcPr>
            <w:tcW w:w="3180" w:type="dxa"/>
            <w:tcBorders>
              <w:top w:val="nil"/>
              <w:left w:val="single" w:sz="4" w:space="0" w:color="auto"/>
              <w:bottom w:val="single" w:sz="4" w:space="0" w:color="auto"/>
              <w:right w:val="single" w:sz="4" w:space="0" w:color="auto"/>
            </w:tcBorders>
            <w:shd w:val="clear" w:color="000000" w:fill="CCFFCC"/>
            <w:noWrap/>
            <w:vAlign w:val="bottom"/>
            <w:hideMark/>
          </w:tcPr>
          <w:p w14:paraId="287B901E" w14:textId="77777777" w:rsidR="001D3599" w:rsidRPr="001D3599" w:rsidRDefault="001D3599" w:rsidP="001D3599">
            <w:pPr>
              <w:spacing w:after="0" w:line="240" w:lineRule="auto"/>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Cootamundra Gundagai</w:t>
            </w:r>
          </w:p>
        </w:tc>
        <w:tc>
          <w:tcPr>
            <w:tcW w:w="960" w:type="dxa"/>
            <w:tcBorders>
              <w:top w:val="nil"/>
              <w:left w:val="nil"/>
              <w:bottom w:val="single" w:sz="4" w:space="0" w:color="auto"/>
              <w:right w:val="single" w:sz="4" w:space="0" w:color="auto"/>
            </w:tcBorders>
            <w:shd w:val="clear" w:color="000000" w:fill="CCFFCC"/>
            <w:noWrap/>
            <w:vAlign w:val="bottom"/>
            <w:hideMark/>
          </w:tcPr>
          <w:p w14:paraId="27549C73"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c>
          <w:tcPr>
            <w:tcW w:w="960" w:type="dxa"/>
            <w:tcBorders>
              <w:top w:val="nil"/>
              <w:left w:val="nil"/>
              <w:bottom w:val="single" w:sz="4" w:space="0" w:color="auto"/>
              <w:right w:val="single" w:sz="4" w:space="0" w:color="auto"/>
            </w:tcBorders>
            <w:shd w:val="clear" w:color="000000" w:fill="CCFFCC"/>
            <w:noWrap/>
            <w:vAlign w:val="bottom"/>
            <w:hideMark/>
          </w:tcPr>
          <w:p w14:paraId="7402C18A" w14:textId="77777777" w:rsidR="001D3599" w:rsidRPr="001D3599" w:rsidRDefault="001D3599" w:rsidP="001D3599">
            <w:pPr>
              <w:spacing w:after="0" w:line="240" w:lineRule="auto"/>
              <w:jc w:val="right"/>
              <w:rPr>
                <w:rFonts w:ascii="Calibri" w:eastAsia="Times New Roman" w:hAnsi="Calibri" w:cs="Calibri"/>
                <w:color w:val="000000"/>
                <w:sz w:val="22"/>
                <w:lang w:eastAsia="en-AU"/>
              </w:rPr>
            </w:pPr>
            <w:r w:rsidRPr="001D3599">
              <w:rPr>
                <w:rFonts w:ascii="Calibri" w:eastAsia="Times New Roman" w:hAnsi="Calibri" w:cs="Calibri"/>
                <w:color w:val="000000"/>
                <w:sz w:val="22"/>
                <w:lang w:eastAsia="en-AU"/>
              </w:rPr>
              <w:t>3</w:t>
            </w:r>
          </w:p>
        </w:tc>
      </w:tr>
    </w:tbl>
    <w:p w14:paraId="4CEFD488" w14:textId="09A19FC7" w:rsidR="00E33DF2" w:rsidRPr="00E33DF2" w:rsidRDefault="00E33DF2" w:rsidP="00DE5F3C"/>
    <w:p w14:paraId="0A62B28D" w14:textId="3F890C60" w:rsidR="00E33DF2" w:rsidRPr="00E33DF2" w:rsidRDefault="001D3599" w:rsidP="00E25A0D">
      <w:pPr>
        <w:spacing w:line="360" w:lineRule="auto"/>
      </w:pPr>
      <w:r>
        <w:t>From this data one might conclude that capacity to pay</w:t>
      </w:r>
      <w:r w:rsidR="00940DCA">
        <w:t xml:space="preserve"> at Cootamundra-Gundagai</w:t>
      </w:r>
      <w:r>
        <w:t xml:space="preserve"> is well below central tendency. However, as we will see later in this report – particularly in our </w:t>
      </w:r>
      <w:r w:rsidR="004A6799">
        <w:t>discussion</w:t>
      </w:r>
      <w:r>
        <w:t xml:space="preserve"> of both unincorporated income and the regression results – this </w:t>
      </w:r>
      <w:r w:rsidRPr="001D3599">
        <w:rPr>
          <w:i/>
        </w:rPr>
        <w:t>prima facie</w:t>
      </w:r>
      <w:r>
        <w:t xml:space="preserve"> conclusion is indeed rather misleading. </w:t>
      </w:r>
    </w:p>
    <w:p w14:paraId="4FF3BDA3" w14:textId="2B1C549A" w:rsidR="00E33DF2" w:rsidRPr="00E33DF2" w:rsidRDefault="001D3599" w:rsidP="00E25A0D">
      <w:pPr>
        <w:spacing w:line="360" w:lineRule="auto"/>
      </w:pPr>
      <w:r>
        <w:t>I have charted the relevant SEIFA data in Figure 4 below.</w:t>
      </w:r>
    </w:p>
    <w:p w14:paraId="7B6753A3" w14:textId="77777777" w:rsidR="00D65C5B" w:rsidRDefault="00D65C5B">
      <w:pPr>
        <w:rPr>
          <w:b/>
        </w:rPr>
      </w:pPr>
      <w:r>
        <w:rPr>
          <w:b/>
        </w:rPr>
        <w:br w:type="page"/>
      </w:r>
    </w:p>
    <w:p w14:paraId="21DF5560" w14:textId="32ED7C2B" w:rsidR="00C93C82" w:rsidRPr="00C93C82" w:rsidRDefault="001D3599" w:rsidP="00C93C82">
      <w:pPr>
        <w:spacing w:line="256" w:lineRule="auto"/>
        <w:rPr>
          <w:b/>
        </w:rPr>
      </w:pPr>
      <w:r>
        <w:rPr>
          <w:b/>
        </w:rPr>
        <w:lastRenderedPageBreak/>
        <w:t>Figure 4</w:t>
      </w:r>
      <w:r w:rsidR="00C93C82" w:rsidRPr="00C93C82">
        <w:rPr>
          <w:b/>
        </w:rPr>
        <w:t>. SEIFA Scores</w:t>
      </w:r>
      <w:r>
        <w:rPr>
          <w:b/>
        </w:rPr>
        <w:t>, 2016 Census</w:t>
      </w:r>
      <w:r w:rsidR="00C93C82" w:rsidRPr="00C93C82">
        <w:rPr>
          <w:b/>
        </w:rPr>
        <w:tab/>
      </w:r>
      <w:r w:rsidR="00C93C82" w:rsidRPr="00C93C82">
        <w:rPr>
          <w:b/>
        </w:rPr>
        <w:tab/>
      </w:r>
    </w:p>
    <w:p w14:paraId="0FDAFFF9" w14:textId="77777777" w:rsidR="00C93C82" w:rsidRPr="00C93C82" w:rsidRDefault="00C93C82" w:rsidP="00C93C82">
      <w:pPr>
        <w:spacing w:line="256" w:lineRule="auto"/>
        <w:rPr>
          <w:b/>
        </w:rPr>
      </w:pPr>
      <w:r w:rsidRPr="00C93C82">
        <w:rPr>
          <w:noProof/>
          <w:lang w:eastAsia="en-AU"/>
        </w:rPr>
        <mc:AlternateContent>
          <mc:Choice Requires="cx1">
            <w:drawing>
              <wp:inline distT="0" distB="0" distL="0" distR="0" wp14:anchorId="5F9A9A7E" wp14:editId="4CF6CF23">
                <wp:extent cx="4309607" cy="2790908"/>
                <wp:effectExtent l="0" t="0" r="15240" b="9525"/>
                <wp:docPr id="10" name="Chart 10">
                  <a:extLst xmlns:a="http://schemas.openxmlformats.org/drawingml/2006/main">
                    <a:ext uri="{FF2B5EF4-FFF2-40B4-BE49-F238E27FC236}">
                      <a16:creationId xmlns:a16="http://schemas.microsoft.com/office/drawing/2014/main" id="{B6C22AFA-1C3C-477C-BD56-EB345E773F5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F9A9A7E" wp14:editId="4CF6CF23">
                <wp:extent cx="4309607" cy="2790908"/>
                <wp:effectExtent l="0" t="0" r="15240" b="9525"/>
                <wp:docPr id="10" name="Chart 10">
                  <a:extLst xmlns:a="http://schemas.openxmlformats.org/drawingml/2006/main">
                    <a:ext uri="{FF2B5EF4-FFF2-40B4-BE49-F238E27FC236}">
                      <a16:creationId xmlns:a16="http://schemas.microsoft.com/office/drawing/2014/main" id="{B6C22AFA-1C3C-477C-BD56-EB345E773F5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0">
                          <a:extLst>
                            <a:ext uri="{FF2B5EF4-FFF2-40B4-BE49-F238E27FC236}">
                              <a16:creationId xmlns:a16="http://schemas.microsoft.com/office/drawing/2014/main" id="{B6C22AFA-1C3C-477C-BD56-EB345E773F59}"/>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4309110" cy="2790825"/>
                        </a:xfrm>
                        <a:prstGeom prst="rect">
                          <a:avLst/>
                        </a:prstGeom>
                      </pic:spPr>
                    </pic:pic>
                  </a:graphicData>
                </a:graphic>
              </wp:inline>
            </w:drawing>
          </mc:Fallback>
        </mc:AlternateContent>
      </w:r>
    </w:p>
    <w:p w14:paraId="2410B0A0" w14:textId="39E9935F" w:rsidR="00C93C82" w:rsidRPr="00F82066" w:rsidRDefault="00F82066" w:rsidP="00E25A0D">
      <w:pPr>
        <w:spacing w:line="360" w:lineRule="auto"/>
      </w:pPr>
      <w:r w:rsidRPr="00F82066">
        <w:t xml:space="preserve">One </w:t>
      </w:r>
      <w:r w:rsidR="00B5317B">
        <w:t>way of mitigating the significant</w:t>
      </w:r>
      <w:r>
        <w:t xml:space="preserve"> limitations </w:t>
      </w:r>
      <w:r w:rsidR="00B5317B">
        <w:t>arising from the use of a</w:t>
      </w:r>
      <w:r>
        <w:t xml:space="preserve"> census index is to examine the data relating to various welfare receipts, and also wage income, over the inter-censal period. </w:t>
      </w:r>
    </w:p>
    <w:p w14:paraId="5D3762B8" w14:textId="33FBD631" w:rsidR="00C93C82" w:rsidRPr="00F82066" w:rsidRDefault="00F82066" w:rsidP="00E25A0D">
      <w:pPr>
        <w:spacing w:line="360" w:lineRule="auto"/>
      </w:pPr>
      <w:r>
        <w:t>Figure 5 charts the proportion of people on an Aged pension. As can be seen</w:t>
      </w:r>
      <w:r w:rsidR="004A6799">
        <w:t>,</w:t>
      </w:r>
      <w:r>
        <w:t xml:space="preserve"> Cootamundra-Gundagai is in the top quartile relative to the OLG11 peer group. On the whole, relatively large proportions of people on welfare payments suggest constrained capacity to pay</w:t>
      </w:r>
      <w:r w:rsidR="008D5E1B">
        <w:t>,</w:t>
      </w:r>
      <w:r>
        <w:t xml:space="preserve"> which is particularly relevant to residential assessments. Aged pensioners generally have incomes far lower than full-time wage earners. However, </w:t>
      </w:r>
      <w:r w:rsidR="008D5E1B">
        <w:t xml:space="preserve">it should be noted that </w:t>
      </w:r>
      <w:r>
        <w:t>their income</w:t>
      </w:r>
      <w:r w:rsidR="004A6799">
        <w:t>s</w:t>
      </w:r>
      <w:r>
        <w:t xml:space="preserve"> </w:t>
      </w:r>
      <w:r w:rsidR="004A6799">
        <w:t>are</w:t>
      </w:r>
      <w:r>
        <w:t xml:space="preserve"> more predictable and often larger than most casual workers</w:t>
      </w:r>
      <w:r w:rsidR="004A6799">
        <w:t>,</w:t>
      </w:r>
      <w:r>
        <w:t xml:space="preserve"> as well as the recipients of many kinds of alternate welfare payments. Moreover, we need to be mindful that this group does attract a discount to their local government taxation, and </w:t>
      </w:r>
      <w:r w:rsidR="00A52C43">
        <w:t>also receive</w:t>
      </w:r>
      <w:r w:rsidR="008D5E1B">
        <w:t>s</w:t>
      </w:r>
      <w:r w:rsidR="00A52C43">
        <w:t xml:space="preserve"> a range of </w:t>
      </w:r>
      <w:r>
        <w:t>subsidies for items such as healthcare, and transport. Indeed, during the federal government response to COVID people on the pension received several rounds of stimulus payments which means that their financial situation</w:t>
      </w:r>
      <w:r w:rsidR="005D2C65">
        <w:t>, and hence capacity to pay local government taxation,</w:t>
      </w:r>
      <w:r>
        <w:t xml:space="preserve"> is likely to be better than</w:t>
      </w:r>
      <w:r w:rsidR="008D5E1B">
        <w:t xml:space="preserve"> it was</w:t>
      </w:r>
      <w:r>
        <w:t xml:space="preserve"> in the recent past. Notably</w:t>
      </w:r>
      <w:r w:rsidR="004A6799">
        <w:t>,</w:t>
      </w:r>
      <w:r>
        <w:t xml:space="preserve"> other welfare recipients also received windfall stimulus payments during the 2020 calendar year.</w:t>
      </w:r>
    </w:p>
    <w:p w14:paraId="394EE106" w14:textId="77777777" w:rsidR="00223A8A" w:rsidRDefault="00223A8A">
      <w:pPr>
        <w:rPr>
          <w:b/>
        </w:rPr>
      </w:pPr>
      <w:r>
        <w:rPr>
          <w:b/>
        </w:rPr>
        <w:br w:type="page"/>
      </w:r>
    </w:p>
    <w:p w14:paraId="03B53B14" w14:textId="44F65605" w:rsidR="00DE5F3C" w:rsidRPr="002006E8" w:rsidRDefault="001D3599" w:rsidP="00DE5F3C">
      <w:pPr>
        <w:rPr>
          <w:b/>
        </w:rPr>
      </w:pPr>
      <w:r>
        <w:rPr>
          <w:b/>
        </w:rPr>
        <w:lastRenderedPageBreak/>
        <w:t>Figure 5</w:t>
      </w:r>
      <w:r w:rsidR="00DE5F3C" w:rsidRPr="002006E8">
        <w:rPr>
          <w:b/>
        </w:rPr>
        <w:t>. Aged Pension</w:t>
      </w:r>
    </w:p>
    <w:p w14:paraId="3A91BABA" w14:textId="00CCAFE6" w:rsidR="00DE5F3C" w:rsidRDefault="00DE5F3C" w:rsidP="00DE5F3C">
      <w:pPr>
        <w:rPr>
          <w:b/>
        </w:rPr>
      </w:pPr>
      <w:r>
        <w:rPr>
          <w:noProof/>
          <w:lang w:eastAsia="en-AU"/>
        </w:rPr>
        <mc:AlternateContent>
          <mc:Choice Requires="cx1">
            <w:drawing>
              <wp:inline distT="0" distB="0" distL="0" distR="0" wp14:anchorId="4784ADC5" wp14:editId="1F50C772">
                <wp:extent cx="4301656" cy="3061253"/>
                <wp:effectExtent l="0" t="0" r="3810" b="6350"/>
                <wp:docPr id="6" name="Chart 6">
                  <a:extLst xmlns:a="http://schemas.openxmlformats.org/drawingml/2006/main">
                    <a:ext uri="{FF2B5EF4-FFF2-40B4-BE49-F238E27FC236}">
                      <a16:creationId xmlns:a16="http://schemas.microsoft.com/office/drawing/2014/main" id="{F4D8E1B1-3464-455F-972B-B3C6338550D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4784ADC5" wp14:editId="1F50C772">
                <wp:extent cx="4301656" cy="3061253"/>
                <wp:effectExtent l="0" t="0" r="3810" b="6350"/>
                <wp:docPr id="6" name="Chart 6">
                  <a:extLst xmlns:a="http://schemas.openxmlformats.org/drawingml/2006/main">
                    <a:ext uri="{FF2B5EF4-FFF2-40B4-BE49-F238E27FC236}">
                      <a16:creationId xmlns:a16="http://schemas.microsoft.com/office/drawing/2014/main" id="{F4D8E1B1-3464-455F-972B-B3C6338550D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F4D8E1B1-3464-455F-972B-B3C6338550D4}"/>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301490" cy="3060700"/>
                        </a:xfrm>
                        <a:prstGeom prst="rect">
                          <a:avLst/>
                        </a:prstGeom>
                      </pic:spPr>
                    </pic:pic>
                  </a:graphicData>
                </a:graphic>
              </wp:inline>
            </w:drawing>
          </mc:Fallback>
        </mc:AlternateContent>
      </w:r>
    </w:p>
    <w:p w14:paraId="1A306438" w14:textId="23EEA9CC" w:rsidR="00DE5F3C" w:rsidRPr="00F82066" w:rsidRDefault="004A6799" w:rsidP="00E25A0D">
      <w:pPr>
        <w:spacing w:line="360" w:lineRule="auto"/>
      </w:pPr>
      <w:r>
        <w:t>In similar vein</w:t>
      </w:r>
      <w:r w:rsidR="00F82066" w:rsidRPr="00F82066">
        <w:t xml:space="preserve">, </w:t>
      </w:r>
      <w:r w:rsidR="00F82066">
        <w:t xml:space="preserve">Cootamundra-Gundagai Regional Council has relatively high proportions of its population in receipt of the </w:t>
      </w:r>
      <w:r w:rsidR="009D5E6A">
        <w:t xml:space="preserve">Disability Support </w:t>
      </w:r>
      <w:r w:rsidR="00F82066">
        <w:t>pension. This further suggests relatively constrained revenue capacity with respect to residential assessments.</w:t>
      </w:r>
    </w:p>
    <w:p w14:paraId="6D56B7FA" w14:textId="28E493D8" w:rsidR="00DE5F3C" w:rsidRPr="002006E8" w:rsidRDefault="00843D15" w:rsidP="00DE5F3C">
      <w:pPr>
        <w:rPr>
          <w:b/>
        </w:rPr>
      </w:pPr>
      <w:r>
        <w:rPr>
          <w:b/>
        </w:rPr>
        <w:t>Figure 6</w:t>
      </w:r>
      <w:r w:rsidR="00DE5F3C" w:rsidRPr="002006E8">
        <w:rPr>
          <w:b/>
        </w:rPr>
        <w:t xml:space="preserve">. Disability </w:t>
      </w:r>
      <w:r w:rsidR="009D5E6A">
        <w:rPr>
          <w:b/>
        </w:rPr>
        <w:t xml:space="preserve">Support </w:t>
      </w:r>
      <w:r w:rsidR="00DE5F3C" w:rsidRPr="002006E8">
        <w:rPr>
          <w:b/>
        </w:rPr>
        <w:t>Pension</w:t>
      </w:r>
    </w:p>
    <w:p w14:paraId="50307072" w14:textId="5A4D14F5" w:rsidR="00DE5F3C" w:rsidRDefault="00DE5F3C" w:rsidP="00DE5F3C">
      <w:pPr>
        <w:rPr>
          <w:b/>
        </w:rPr>
      </w:pPr>
      <w:r>
        <w:rPr>
          <w:noProof/>
          <w:lang w:eastAsia="en-AU"/>
        </w:rPr>
        <mc:AlternateContent>
          <mc:Choice Requires="cx1">
            <w:drawing>
              <wp:inline distT="0" distB="0" distL="0" distR="0" wp14:anchorId="5A29E4A7" wp14:editId="1C8F84FC">
                <wp:extent cx="4333461" cy="3013545"/>
                <wp:effectExtent l="0" t="0" r="10160" b="15875"/>
                <wp:docPr id="7" name="Chart 7">
                  <a:extLst xmlns:a="http://schemas.openxmlformats.org/drawingml/2006/main">
                    <a:ext uri="{FF2B5EF4-FFF2-40B4-BE49-F238E27FC236}">
                      <a16:creationId xmlns:a16="http://schemas.microsoft.com/office/drawing/2014/main" id="{B88C0130-73AE-4C6E-89AB-9B5CB62522B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A29E4A7" wp14:editId="1C8F84FC">
                <wp:extent cx="4333461" cy="3013545"/>
                <wp:effectExtent l="0" t="0" r="10160" b="15875"/>
                <wp:docPr id="7" name="Chart 7">
                  <a:extLst xmlns:a="http://schemas.openxmlformats.org/drawingml/2006/main">
                    <a:ext uri="{FF2B5EF4-FFF2-40B4-BE49-F238E27FC236}">
                      <a16:creationId xmlns:a16="http://schemas.microsoft.com/office/drawing/2014/main" id="{B88C0130-73AE-4C6E-89AB-9B5CB62522B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B88C0130-73AE-4C6E-89AB-9B5CB62522B4}"/>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4333240" cy="3013075"/>
                        </a:xfrm>
                        <a:prstGeom prst="rect">
                          <a:avLst/>
                        </a:prstGeom>
                      </pic:spPr>
                    </pic:pic>
                  </a:graphicData>
                </a:graphic>
              </wp:inline>
            </w:drawing>
          </mc:Fallback>
        </mc:AlternateContent>
      </w:r>
    </w:p>
    <w:p w14:paraId="48E9C808" w14:textId="0B5BCFE4" w:rsidR="00DE5F3C" w:rsidRPr="003C6228" w:rsidRDefault="003C6228" w:rsidP="00E25A0D">
      <w:pPr>
        <w:spacing w:line="360" w:lineRule="auto"/>
      </w:pPr>
      <w:r>
        <w:lastRenderedPageBreak/>
        <w:t xml:space="preserve">The Newstart Allowance </w:t>
      </w:r>
      <w:r w:rsidR="00A52C43">
        <w:t xml:space="preserve">data, in Table 7, </w:t>
      </w:r>
      <w:r>
        <w:t>paints a relatively better picture for Cootamundra-Gundagai. This data is particularly important because Newstart recipients are paid far lower levels of support</w:t>
      </w:r>
      <w:r w:rsidR="004A6799">
        <w:t xml:space="preserve"> and do not receive the same extensive range of discounts</w:t>
      </w:r>
      <w:r>
        <w:t>. Notably</w:t>
      </w:r>
      <w:r w:rsidR="004A6799">
        <w:t>,</w:t>
      </w:r>
      <w:r>
        <w:t xml:space="preserve"> these figures will have changed somewhat since the advent of COVID. Moreover, Newstart rates and stimulus have been higher than usual</w:t>
      </w:r>
      <w:r w:rsidR="00A52C43">
        <w:t>, in the 2020 calendar year,</w:t>
      </w:r>
      <w:r>
        <w:t xml:space="preserve"> as part of the federal government response to the COVID. Data for this welfare receipt is pretty typical of the OLG11 peer group.</w:t>
      </w:r>
    </w:p>
    <w:p w14:paraId="63514076" w14:textId="5CBDCDE0" w:rsidR="00DE5F3C" w:rsidRPr="002006E8" w:rsidRDefault="00843D15" w:rsidP="00DE5F3C">
      <w:pPr>
        <w:rPr>
          <w:b/>
        </w:rPr>
      </w:pPr>
      <w:r>
        <w:rPr>
          <w:b/>
        </w:rPr>
        <w:t>Figure 7</w:t>
      </w:r>
      <w:r w:rsidR="00DE5F3C" w:rsidRPr="002006E8">
        <w:rPr>
          <w:b/>
        </w:rPr>
        <w:t>. Newstart</w:t>
      </w:r>
      <w:r w:rsidR="009D5E6A">
        <w:rPr>
          <w:b/>
        </w:rPr>
        <w:t xml:space="preserve"> Allowance</w:t>
      </w:r>
    </w:p>
    <w:p w14:paraId="690AEDCA" w14:textId="303A1EFB" w:rsidR="00DE5F3C" w:rsidRDefault="00DE5F3C" w:rsidP="00DE5F3C">
      <w:pPr>
        <w:rPr>
          <w:b/>
        </w:rPr>
      </w:pPr>
      <w:r>
        <w:rPr>
          <w:noProof/>
          <w:lang w:eastAsia="en-AU"/>
        </w:rPr>
        <mc:AlternateContent>
          <mc:Choice Requires="cx1">
            <w:drawing>
              <wp:inline distT="0" distB="0" distL="0" distR="0" wp14:anchorId="40C34D5D" wp14:editId="4C795255">
                <wp:extent cx="4317559" cy="3021495"/>
                <wp:effectExtent l="0" t="0" r="6985" b="7620"/>
                <wp:docPr id="8" name="Chart 8">
                  <a:extLst xmlns:a="http://schemas.openxmlformats.org/drawingml/2006/main">
                    <a:ext uri="{FF2B5EF4-FFF2-40B4-BE49-F238E27FC236}">
                      <a16:creationId xmlns:a16="http://schemas.microsoft.com/office/drawing/2014/main" id="{97799487-0F65-49B8-A2DF-04F51CFBC87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40C34D5D" wp14:editId="4C795255">
                <wp:extent cx="4317559" cy="3021495"/>
                <wp:effectExtent l="0" t="0" r="6985" b="7620"/>
                <wp:docPr id="8" name="Chart 8">
                  <a:extLst xmlns:a="http://schemas.openxmlformats.org/drawingml/2006/main">
                    <a:ext uri="{FF2B5EF4-FFF2-40B4-BE49-F238E27FC236}">
                      <a16:creationId xmlns:a16="http://schemas.microsoft.com/office/drawing/2014/main" id="{97799487-0F65-49B8-A2DF-04F51CFBC87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a:extLst>
                            <a:ext uri="{FF2B5EF4-FFF2-40B4-BE49-F238E27FC236}">
                              <a16:creationId xmlns:a16="http://schemas.microsoft.com/office/drawing/2014/main" id="{97799487-0F65-49B8-A2DF-04F51CFBC876}"/>
                            </a:ext>
                          </a:extLst>
                        </pic:cNvPr>
                        <pic:cNvPicPr>
                          <a:picLocks noGrp="1" noRot="1" noChangeAspect="1" noMove="1" noResize="1" noEditPoints="1" noAdjustHandles="1" noChangeArrowheads="1" noChangeShapeType="1"/>
                        </pic:cNvPicPr>
                      </pic:nvPicPr>
                      <pic:blipFill>
                        <a:blip r:embed="rId26"/>
                        <a:stretch>
                          <a:fillRect/>
                        </a:stretch>
                      </pic:blipFill>
                      <pic:spPr>
                        <a:xfrm>
                          <a:off x="0" y="0"/>
                          <a:ext cx="4317365" cy="3021330"/>
                        </a:xfrm>
                        <a:prstGeom prst="rect">
                          <a:avLst/>
                        </a:prstGeom>
                      </pic:spPr>
                    </pic:pic>
                  </a:graphicData>
                </a:graphic>
              </wp:inline>
            </w:drawing>
          </mc:Fallback>
        </mc:AlternateContent>
      </w:r>
    </w:p>
    <w:p w14:paraId="13E324D7" w14:textId="0DA7CC75" w:rsidR="00DE5F3C" w:rsidRPr="003C6228" w:rsidRDefault="004A6799" w:rsidP="007F41B0">
      <w:pPr>
        <w:spacing w:line="360" w:lineRule="auto"/>
      </w:pPr>
      <w:r>
        <w:t>T</w:t>
      </w:r>
      <w:r w:rsidR="00843D15">
        <w:t>he proportion of people on the Single Parent pension is far lower than typical for the OLG11 peer group. This is a point in favour of the capacity of residential ratepayers to absorb the SRV relative to other OLG11 citizens (please see Figure 8).</w:t>
      </w:r>
    </w:p>
    <w:p w14:paraId="56743705" w14:textId="77777777" w:rsidR="00223A8A" w:rsidRDefault="00223A8A">
      <w:pPr>
        <w:rPr>
          <w:b/>
        </w:rPr>
      </w:pPr>
      <w:r>
        <w:rPr>
          <w:b/>
        </w:rPr>
        <w:br w:type="page"/>
      </w:r>
    </w:p>
    <w:p w14:paraId="37FEAED3" w14:textId="7554EF7B" w:rsidR="00DE5F3C" w:rsidRPr="002006E8" w:rsidRDefault="00843D15" w:rsidP="00DE5F3C">
      <w:pPr>
        <w:rPr>
          <w:b/>
        </w:rPr>
      </w:pPr>
      <w:r>
        <w:rPr>
          <w:b/>
        </w:rPr>
        <w:lastRenderedPageBreak/>
        <w:t>Figure 8</w:t>
      </w:r>
      <w:r w:rsidR="00DE5F3C" w:rsidRPr="002006E8">
        <w:rPr>
          <w:b/>
        </w:rPr>
        <w:t>. Single Parent Pension</w:t>
      </w:r>
    </w:p>
    <w:p w14:paraId="28755305" w14:textId="51C48447" w:rsidR="00DE5F3C" w:rsidRDefault="005E0107" w:rsidP="00DE5F3C">
      <w:pPr>
        <w:rPr>
          <w:b/>
        </w:rPr>
      </w:pPr>
      <w:r>
        <w:rPr>
          <w:noProof/>
          <w:lang w:eastAsia="en-AU"/>
        </w:rPr>
        <mc:AlternateContent>
          <mc:Choice Requires="cx1">
            <w:drawing>
              <wp:inline distT="0" distB="0" distL="0" distR="0" wp14:anchorId="7B1371A1" wp14:editId="1B628A98">
                <wp:extent cx="4341413" cy="3021496"/>
                <wp:effectExtent l="0" t="0" r="2540" b="7620"/>
                <wp:docPr id="13" name="Chart 13">
                  <a:extLst xmlns:a="http://schemas.openxmlformats.org/drawingml/2006/main">
                    <a:ext uri="{FF2B5EF4-FFF2-40B4-BE49-F238E27FC236}">
                      <a16:creationId xmlns:a16="http://schemas.microsoft.com/office/drawing/2014/main" id="{68D2EF47-890D-4894-8CFB-27465AEF22B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B1371A1" wp14:editId="1B628A98">
                <wp:extent cx="4341413" cy="3021496"/>
                <wp:effectExtent l="0" t="0" r="2540" b="7620"/>
                <wp:docPr id="13" name="Chart 13">
                  <a:extLst xmlns:a="http://schemas.openxmlformats.org/drawingml/2006/main">
                    <a:ext uri="{FF2B5EF4-FFF2-40B4-BE49-F238E27FC236}">
                      <a16:creationId xmlns:a16="http://schemas.microsoft.com/office/drawing/2014/main" id="{68D2EF47-890D-4894-8CFB-27465AEF22B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3">
                          <a:extLst>
                            <a:ext uri="{FF2B5EF4-FFF2-40B4-BE49-F238E27FC236}">
                              <a16:creationId xmlns:a16="http://schemas.microsoft.com/office/drawing/2014/main" id="{68D2EF47-890D-4894-8CFB-27465AEF22B9}"/>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4340860" cy="3021330"/>
                        </a:xfrm>
                        <a:prstGeom prst="rect">
                          <a:avLst/>
                        </a:prstGeom>
                      </pic:spPr>
                    </pic:pic>
                  </a:graphicData>
                </a:graphic>
              </wp:inline>
            </w:drawing>
          </mc:Fallback>
        </mc:AlternateContent>
      </w:r>
    </w:p>
    <w:p w14:paraId="3CD48975" w14:textId="5F54E23A" w:rsidR="00DE5F3C" w:rsidRPr="00843D15" w:rsidRDefault="00843D15" w:rsidP="0064395C">
      <w:pPr>
        <w:spacing w:line="360" w:lineRule="auto"/>
      </w:pPr>
      <w:r w:rsidRPr="00843D15">
        <w:t>It is important to be mindfu</w:t>
      </w:r>
      <w:r w:rsidR="008D5E1B">
        <w:t>l that</w:t>
      </w:r>
      <w:r>
        <w:t xml:space="preserve"> notwithstanding the </w:t>
      </w:r>
      <w:r w:rsidR="00660311">
        <w:t>large</w:t>
      </w:r>
      <w:r>
        <w:t xml:space="preserve"> proportion of Aged pensioners, </w:t>
      </w:r>
      <w:r w:rsidR="00660311">
        <w:t xml:space="preserve">in particular, </w:t>
      </w:r>
      <w:r>
        <w:t xml:space="preserve">the majority of ratepayers do indeed receive an income from working. </w:t>
      </w:r>
      <w:r w:rsidR="00660311">
        <w:t>In Figure 9</w:t>
      </w:r>
      <w:r w:rsidR="008D5E1B">
        <w:t>,</w:t>
      </w:r>
      <w:r w:rsidR="00660311">
        <w:t xml:space="preserve"> I chart the median income for wage-earners</w:t>
      </w:r>
      <w:r w:rsidR="0036788A">
        <w:t>.</w:t>
      </w:r>
      <w:r w:rsidR="00660311">
        <w:t xml:space="preserve"> As can be seen</w:t>
      </w:r>
      <w:r w:rsidR="008D5E1B">
        <w:t>,</w:t>
      </w:r>
      <w:r w:rsidR="00660311">
        <w:t xml:space="preserve"> earnings at Cootamundra-Gundagai are well below average and slightly less than the median (that is, in the second quartile). This suggests slightly constrained capacity to pay local government taxation for residential ratepayers relative to the OLG11 peer group. It should be noted that </w:t>
      </w:r>
      <w:r w:rsidR="00870791">
        <w:t>ABS data on income is generally a few years behind, as per Figure 9.</w:t>
      </w:r>
      <w:r w:rsidR="0054178E">
        <w:t xml:space="preserve"> </w:t>
      </w:r>
    </w:p>
    <w:p w14:paraId="414639F9" w14:textId="77777777" w:rsidR="008D5E1B" w:rsidRDefault="008D5E1B">
      <w:pPr>
        <w:rPr>
          <w:b/>
        </w:rPr>
      </w:pPr>
      <w:r>
        <w:rPr>
          <w:b/>
        </w:rPr>
        <w:br w:type="page"/>
      </w:r>
    </w:p>
    <w:p w14:paraId="564AF608" w14:textId="23AD0FDC" w:rsidR="00DE5F3C" w:rsidRPr="002006E8" w:rsidRDefault="00843D15" w:rsidP="00DE5F3C">
      <w:pPr>
        <w:rPr>
          <w:b/>
        </w:rPr>
      </w:pPr>
      <w:r>
        <w:rPr>
          <w:b/>
        </w:rPr>
        <w:lastRenderedPageBreak/>
        <w:t>Figure 9</w:t>
      </w:r>
      <w:r w:rsidR="00DE5F3C" w:rsidRPr="002006E8">
        <w:rPr>
          <w:b/>
        </w:rPr>
        <w:t xml:space="preserve">. Median </w:t>
      </w:r>
      <w:r w:rsidR="006A0D60">
        <w:rPr>
          <w:b/>
        </w:rPr>
        <w:t xml:space="preserve">Wage-Earner </w:t>
      </w:r>
      <w:r w:rsidR="00DE5F3C" w:rsidRPr="002006E8">
        <w:rPr>
          <w:b/>
        </w:rPr>
        <w:t>Income</w:t>
      </w:r>
      <w:r w:rsidR="006A0D60">
        <w:rPr>
          <w:b/>
        </w:rPr>
        <w:t xml:space="preserve"> </w:t>
      </w:r>
    </w:p>
    <w:p w14:paraId="157250F3" w14:textId="77777777" w:rsidR="0054178E" w:rsidRPr="0054178E" w:rsidRDefault="0054178E" w:rsidP="0054178E">
      <w:pPr>
        <w:rPr>
          <w:rFonts w:asciiTheme="minorHAnsi" w:eastAsiaTheme="minorEastAsia" w:hAnsiTheme="minorHAnsi"/>
          <w:color w:val="000000"/>
          <w:sz w:val="27"/>
          <w:szCs w:val="27"/>
          <w:lang w:eastAsia="ja-JP"/>
        </w:rPr>
      </w:pPr>
      <w:r w:rsidRPr="0054178E">
        <w:rPr>
          <w:rFonts w:asciiTheme="minorHAnsi" w:eastAsiaTheme="minorEastAsia" w:hAnsiTheme="minorHAnsi"/>
          <w:noProof/>
          <w:sz w:val="22"/>
          <w:lang w:eastAsia="en-AU"/>
        </w:rPr>
        <mc:AlternateContent>
          <mc:Choice Requires="cx1">
            <w:drawing>
              <wp:inline distT="0" distB="0" distL="0" distR="0" wp14:anchorId="5D983219" wp14:editId="32C6CF49">
                <wp:extent cx="4562907" cy="3209926"/>
                <wp:effectExtent l="0" t="0" r="9525" b="9525"/>
                <wp:docPr id="22" name="Chart 22">
                  <a:extLst xmlns:a="http://schemas.openxmlformats.org/drawingml/2006/main">
                    <a:ext uri="{FF2B5EF4-FFF2-40B4-BE49-F238E27FC236}">
                      <a16:creationId xmlns:a16="http://schemas.microsoft.com/office/drawing/2014/main" id="{FF62B8BB-7B16-41A0-BAAE-2C24B41813C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5D983219" wp14:editId="32C6CF49">
                <wp:extent cx="4562907" cy="3209926"/>
                <wp:effectExtent l="0" t="0" r="9525" b="9525"/>
                <wp:docPr id="22" name="Chart 22">
                  <a:extLst xmlns:a="http://schemas.openxmlformats.org/drawingml/2006/main">
                    <a:ext uri="{FF2B5EF4-FFF2-40B4-BE49-F238E27FC236}">
                      <a16:creationId xmlns:a16="http://schemas.microsoft.com/office/drawing/2014/main" id="{FF62B8BB-7B16-41A0-BAAE-2C24B41813C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2" name="Chart 22">
                          <a:extLst>
                            <a:ext uri="{FF2B5EF4-FFF2-40B4-BE49-F238E27FC236}">
                              <a16:creationId xmlns:a16="http://schemas.microsoft.com/office/drawing/2014/main" id="{FF62B8BB-7B16-41A0-BAAE-2C24B41813CE}"/>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4562475" cy="3209925"/>
                        </a:xfrm>
                        <a:prstGeom prst="rect">
                          <a:avLst/>
                        </a:prstGeom>
                      </pic:spPr>
                    </pic:pic>
                  </a:graphicData>
                </a:graphic>
              </wp:inline>
            </w:drawing>
          </mc:Fallback>
        </mc:AlternateContent>
      </w:r>
    </w:p>
    <w:p w14:paraId="581A3660" w14:textId="486660DB" w:rsidR="0054178E" w:rsidRPr="00E25A0D" w:rsidRDefault="0054178E" w:rsidP="0054178E">
      <w:pPr>
        <w:rPr>
          <w:rFonts w:eastAsiaTheme="minorEastAsia" w:cs="Arial"/>
          <w:bCs/>
          <w:color w:val="000000"/>
          <w:szCs w:val="24"/>
          <w:lang w:eastAsia="ja-JP"/>
        </w:rPr>
      </w:pPr>
      <w:r w:rsidRPr="00E25A0D">
        <w:rPr>
          <w:rFonts w:eastAsiaTheme="minorEastAsia" w:cs="Arial"/>
          <w:bCs/>
          <w:color w:val="000000"/>
          <w:szCs w:val="24"/>
          <w:lang w:eastAsia="ja-JP"/>
        </w:rPr>
        <w:t xml:space="preserve">In Figure 10 I chart the mean income with similar results. </w:t>
      </w:r>
    </w:p>
    <w:p w14:paraId="7C6D1565" w14:textId="035E6A21" w:rsidR="0054178E" w:rsidRPr="0054178E" w:rsidRDefault="0054178E" w:rsidP="0054178E">
      <w:pPr>
        <w:rPr>
          <w:rFonts w:asciiTheme="minorHAnsi" w:eastAsiaTheme="minorEastAsia" w:hAnsiTheme="minorHAnsi"/>
          <w:b/>
          <w:bCs/>
          <w:color w:val="000000"/>
          <w:sz w:val="27"/>
          <w:szCs w:val="27"/>
          <w:lang w:eastAsia="ja-JP"/>
        </w:rPr>
      </w:pPr>
      <w:r w:rsidRPr="0054178E">
        <w:rPr>
          <w:rFonts w:asciiTheme="minorHAnsi" w:eastAsiaTheme="minorEastAsia" w:hAnsiTheme="minorHAnsi"/>
          <w:b/>
          <w:bCs/>
          <w:color w:val="000000"/>
          <w:sz w:val="27"/>
          <w:szCs w:val="27"/>
          <w:lang w:eastAsia="ja-JP"/>
        </w:rPr>
        <w:t>Figure 10. Mean Wage-Earner Income</w:t>
      </w:r>
    </w:p>
    <w:p w14:paraId="7FDAD037" w14:textId="77777777" w:rsidR="0054178E" w:rsidRPr="0054178E" w:rsidRDefault="0054178E" w:rsidP="0054178E">
      <w:pPr>
        <w:rPr>
          <w:rFonts w:asciiTheme="minorHAnsi" w:eastAsiaTheme="minorEastAsia" w:hAnsiTheme="minorHAnsi"/>
          <w:sz w:val="22"/>
          <w:lang w:eastAsia="ja-JP"/>
        </w:rPr>
      </w:pPr>
      <w:r w:rsidRPr="0054178E">
        <w:rPr>
          <w:rFonts w:asciiTheme="minorHAnsi" w:eastAsiaTheme="minorEastAsia" w:hAnsiTheme="minorHAnsi"/>
          <w:noProof/>
          <w:sz w:val="22"/>
          <w:lang w:eastAsia="en-AU"/>
        </w:rPr>
        <mc:AlternateContent>
          <mc:Choice Requires="cx1">
            <w:drawing>
              <wp:inline distT="0" distB="0" distL="0" distR="0" wp14:anchorId="0872D4A1" wp14:editId="3853E7B3">
                <wp:extent cx="4562907" cy="3209926"/>
                <wp:effectExtent l="0" t="0" r="9525" b="9525"/>
                <wp:docPr id="26" name="Chart 26">
                  <a:extLst xmlns:a="http://schemas.openxmlformats.org/drawingml/2006/main">
                    <a:ext uri="{FF2B5EF4-FFF2-40B4-BE49-F238E27FC236}">
                      <a16:creationId xmlns:a16="http://schemas.microsoft.com/office/drawing/2014/main" id="{B74FFB3C-A7E0-4451-82FF-080369E6722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872D4A1" wp14:editId="3853E7B3">
                <wp:extent cx="4562907" cy="3209926"/>
                <wp:effectExtent l="0" t="0" r="9525" b="9525"/>
                <wp:docPr id="26" name="Chart 26">
                  <a:extLst xmlns:a="http://schemas.openxmlformats.org/drawingml/2006/main">
                    <a:ext uri="{FF2B5EF4-FFF2-40B4-BE49-F238E27FC236}">
                      <a16:creationId xmlns:a16="http://schemas.microsoft.com/office/drawing/2014/main" id="{B74FFB3C-A7E0-4451-82FF-080369E6722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Chart 26">
                          <a:extLst>
                            <a:ext uri="{FF2B5EF4-FFF2-40B4-BE49-F238E27FC236}">
                              <a16:creationId xmlns:a16="http://schemas.microsoft.com/office/drawing/2014/main" id="{B74FFB3C-A7E0-4451-82FF-080369E6722F}"/>
                            </a:ext>
                          </a:extLst>
                        </pic:cNvPr>
                        <pic:cNvPicPr>
                          <a:picLocks noGrp="1" noRot="1" noChangeAspect="1" noMove="1" noResize="1" noEditPoints="1" noAdjustHandles="1" noChangeArrowheads="1" noChangeShapeType="1"/>
                        </pic:cNvPicPr>
                      </pic:nvPicPr>
                      <pic:blipFill>
                        <a:blip r:embed="rId32"/>
                        <a:stretch>
                          <a:fillRect/>
                        </a:stretch>
                      </pic:blipFill>
                      <pic:spPr>
                        <a:xfrm>
                          <a:off x="0" y="0"/>
                          <a:ext cx="4562475" cy="3209925"/>
                        </a:xfrm>
                        <a:prstGeom prst="rect">
                          <a:avLst/>
                        </a:prstGeom>
                      </pic:spPr>
                    </pic:pic>
                  </a:graphicData>
                </a:graphic>
              </wp:inline>
            </w:drawing>
          </mc:Fallback>
        </mc:AlternateContent>
      </w:r>
    </w:p>
    <w:p w14:paraId="7DF65538" w14:textId="77777777" w:rsidR="00870791" w:rsidRDefault="00870791"/>
    <w:p w14:paraId="6B9D3093" w14:textId="37528B9F" w:rsidR="00EB2EA0" w:rsidRDefault="0036788A" w:rsidP="00E25A0D">
      <w:pPr>
        <w:spacing w:line="360" w:lineRule="auto"/>
      </w:pPr>
      <w:r>
        <w:t xml:space="preserve">Notably </w:t>
      </w:r>
      <w:r w:rsidR="00870791">
        <w:t>incomes in Cootamundra-Gundagai are distributed relatively equitably (at least compared to the peer gro</w:t>
      </w:r>
      <w:r w:rsidR="00A52C43">
        <w:t>up) as demonstrated by Figures 11 and 12</w:t>
      </w:r>
      <w:r w:rsidR="00870791">
        <w:t xml:space="preserve"> </w:t>
      </w:r>
      <w:r w:rsidR="00870791">
        <w:lastRenderedPageBreak/>
        <w:t xml:space="preserve">which present two alternate measures of income equality. Income equality is important in a taxation sense because it suggests, ceteris paribus, that more reliance can be put on </w:t>
      </w:r>
      <w:r w:rsidR="006A0D60">
        <w:t>measures of central tendency (such as those set out in Figures 9 and 10) when assessing ratepayer capacity.</w:t>
      </w:r>
    </w:p>
    <w:p w14:paraId="511DECBA" w14:textId="04445CE8" w:rsidR="00EB2EA0" w:rsidRDefault="006A0D60" w:rsidP="00E25A0D">
      <w:pPr>
        <w:spacing w:line="360" w:lineRule="auto"/>
      </w:pPr>
      <w:r>
        <w:t>T</w:t>
      </w:r>
      <w:r w:rsidR="0036788A" w:rsidRPr="0036788A">
        <w:t>he P80/20 ratio</w:t>
      </w:r>
      <w:r>
        <w:t>, presented in Figure 11,</w:t>
      </w:r>
      <w:r w:rsidR="0036788A" w:rsidRPr="0036788A">
        <w:t xml:space="preserve"> is a measure of spread (the 80</w:t>
      </w:r>
      <w:r w:rsidR="0036788A" w:rsidRPr="0036788A">
        <w:rPr>
          <w:vertAlign w:val="superscript"/>
        </w:rPr>
        <w:t>th</w:t>
      </w:r>
      <w:r w:rsidR="0036788A" w:rsidRPr="0036788A">
        <w:t xml:space="preserve"> percentile earnings </w:t>
      </w:r>
      <w:r>
        <w:t>d</w:t>
      </w:r>
      <w:r w:rsidR="0036788A" w:rsidRPr="0036788A">
        <w:t>ivided by the 20</w:t>
      </w:r>
      <w:r w:rsidR="0036788A" w:rsidRPr="0036788A">
        <w:rPr>
          <w:vertAlign w:val="superscript"/>
        </w:rPr>
        <w:t>th</w:t>
      </w:r>
      <w:r w:rsidR="0036788A" w:rsidRPr="0036788A">
        <w:t xml:space="preserve"> percentile, where higher numbers suggest relative inequality).</w:t>
      </w:r>
      <w:r>
        <w:t xml:space="preserve"> It is notable that in the most recent year for which data was available </w:t>
      </w:r>
      <w:r w:rsidR="00D172FF">
        <w:t>there was greater income equality in</w:t>
      </w:r>
      <w:r w:rsidR="00A52C43">
        <w:t xml:space="preserve"> Cootamundra-</w:t>
      </w:r>
      <w:r>
        <w:t>Gundagai, than for the typical peer.</w:t>
      </w:r>
    </w:p>
    <w:p w14:paraId="522CE2D8" w14:textId="392DF35D" w:rsidR="00C93C82" w:rsidRPr="00C93C82" w:rsidRDefault="0036788A" w:rsidP="00C93C82">
      <w:pPr>
        <w:spacing w:line="256" w:lineRule="auto"/>
        <w:rPr>
          <w:b/>
        </w:rPr>
      </w:pPr>
      <w:r>
        <w:rPr>
          <w:b/>
        </w:rPr>
        <w:t xml:space="preserve">Figure </w:t>
      </w:r>
      <w:r w:rsidR="006A0D60">
        <w:rPr>
          <w:b/>
        </w:rPr>
        <w:t>11</w:t>
      </w:r>
      <w:r w:rsidR="00C93C82" w:rsidRPr="00C93C82">
        <w:rPr>
          <w:b/>
        </w:rPr>
        <w:t xml:space="preserve">. </w:t>
      </w:r>
      <w:r w:rsidR="006C31A7">
        <w:rPr>
          <w:b/>
        </w:rPr>
        <w:t>P80/20 Income Inequality Ratio</w:t>
      </w:r>
    </w:p>
    <w:p w14:paraId="1F075D2D" w14:textId="77777777" w:rsidR="00C93C82" w:rsidRPr="00C93C82" w:rsidRDefault="00C93C82" w:rsidP="00C93C82">
      <w:pPr>
        <w:spacing w:line="256" w:lineRule="auto"/>
        <w:rPr>
          <w:b/>
        </w:rPr>
      </w:pPr>
      <w:r w:rsidRPr="00C93C82">
        <w:rPr>
          <w:noProof/>
          <w:lang w:eastAsia="en-AU"/>
        </w:rPr>
        <mc:AlternateContent>
          <mc:Choice Requires="cx1">
            <w:drawing>
              <wp:inline distT="0" distB="0" distL="0" distR="0" wp14:anchorId="788E3F9E" wp14:editId="250A3B7A">
                <wp:extent cx="4333461" cy="2759102"/>
                <wp:effectExtent l="0" t="0" r="10160" b="3175"/>
                <wp:docPr id="16" name="Chart 16">
                  <a:extLst xmlns:a="http://schemas.openxmlformats.org/drawingml/2006/main">
                    <a:ext uri="{FF2B5EF4-FFF2-40B4-BE49-F238E27FC236}">
                      <a16:creationId xmlns:a16="http://schemas.microsoft.com/office/drawing/2014/main" id="{87FB46AB-23CD-435C-8083-E536F53A6D2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88E3F9E" wp14:editId="250A3B7A">
                <wp:extent cx="4333461" cy="2759102"/>
                <wp:effectExtent l="0" t="0" r="10160" b="3175"/>
                <wp:docPr id="16" name="Chart 16">
                  <a:extLst xmlns:a="http://schemas.openxmlformats.org/drawingml/2006/main">
                    <a:ext uri="{FF2B5EF4-FFF2-40B4-BE49-F238E27FC236}">
                      <a16:creationId xmlns:a16="http://schemas.microsoft.com/office/drawing/2014/main" id="{87FB46AB-23CD-435C-8083-E536F53A6D2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a:extLst>
                            <a:ext uri="{FF2B5EF4-FFF2-40B4-BE49-F238E27FC236}">
                              <a16:creationId xmlns:a16="http://schemas.microsoft.com/office/drawing/2014/main" id="{87FB46AB-23CD-435C-8083-E536F53A6D26}"/>
                            </a:ext>
                          </a:extLst>
                        </pic:cNvPr>
                        <pic:cNvPicPr>
                          <a:picLocks noGrp="1" noRot="1" noChangeAspect="1" noMove="1" noResize="1" noEditPoints="1" noAdjustHandles="1" noChangeArrowheads="1" noChangeShapeType="1"/>
                        </pic:cNvPicPr>
                      </pic:nvPicPr>
                      <pic:blipFill>
                        <a:blip r:embed="rId34"/>
                        <a:stretch>
                          <a:fillRect/>
                        </a:stretch>
                      </pic:blipFill>
                      <pic:spPr>
                        <a:xfrm>
                          <a:off x="0" y="0"/>
                          <a:ext cx="4333240" cy="2759075"/>
                        </a:xfrm>
                        <a:prstGeom prst="rect">
                          <a:avLst/>
                        </a:prstGeom>
                      </pic:spPr>
                    </pic:pic>
                  </a:graphicData>
                </a:graphic>
              </wp:inline>
            </w:drawing>
          </mc:Fallback>
        </mc:AlternateContent>
      </w:r>
    </w:p>
    <w:p w14:paraId="7DC691A3" w14:textId="2CBA80D9" w:rsidR="006A0D60" w:rsidRDefault="006A0D60" w:rsidP="00E25A0D">
      <w:pPr>
        <w:spacing w:line="360" w:lineRule="auto"/>
      </w:pPr>
      <w:r w:rsidRPr="006A0D60">
        <w:t>The Gini</w:t>
      </w:r>
      <w:r w:rsidR="008D5E1B">
        <w:t xml:space="preserve"> coefficient is a</w:t>
      </w:r>
      <w:r>
        <w:t xml:space="preserve"> common way that economists analyse inequality across th</w:t>
      </w:r>
      <w:r w:rsidR="00A52C43">
        <w:t>e entire distribution. Stiglitz</w:t>
      </w:r>
      <w:r>
        <w:t xml:space="preserve"> (2013, p. 28) does a fine job of explaining the Gini coefficient which bears quoting at length:</w:t>
      </w:r>
    </w:p>
    <w:p w14:paraId="62D20FBA" w14:textId="7CC0BA16" w:rsidR="006A0D60" w:rsidRPr="006A0D60" w:rsidRDefault="006A0D60" w:rsidP="006A0D60">
      <w:pPr>
        <w:ind w:left="851" w:right="849"/>
      </w:pPr>
      <w:r>
        <w:t>‘</w:t>
      </w:r>
      <w:r w:rsidRPr="006A0D60">
        <w:t>If income was shared in proportion to the population – the bottom 10 percent getting roughly 10 percent of the income, the bottom 20 percent getting 20 percent, and so forth – then the Gini coefficient would be zero. There would be no inequality. On the other hand, if all the income went to the top person, the Gini coefficient would be one, in some sense ‘perfect’ inequality. More equal societies have Gini coefficients of 0.3 or below….The most unequal societies have Gini coefficients of 0.5 or above’ (Stiglitz, 2013, p. 28)</w:t>
      </w:r>
    </w:p>
    <w:p w14:paraId="23903129" w14:textId="4282D45B" w:rsidR="00D65C5B" w:rsidRPr="006A0D60" w:rsidRDefault="006A0D60" w:rsidP="00E25A0D">
      <w:pPr>
        <w:spacing w:line="360" w:lineRule="auto"/>
      </w:pPr>
      <w:r>
        <w:lastRenderedPageBreak/>
        <w:t>Notably by this measure Australia has high levels of inequality (a fact well known to people li</w:t>
      </w:r>
      <w:r w:rsidR="00A52C43">
        <w:t>ving in rural areas) because our</w:t>
      </w:r>
      <w:r>
        <w:t xml:space="preserve"> national GINI stands at a disappointing</w:t>
      </w:r>
      <w:r w:rsidR="0024353A">
        <w:t xml:space="preserve"> 0.482 (ABS, 2020)</w:t>
      </w:r>
      <w:r>
        <w:t xml:space="preserve">. Inequality across the entire distribution is </w:t>
      </w:r>
      <w:r w:rsidR="0024353A">
        <w:t xml:space="preserve">also similarly </w:t>
      </w:r>
      <w:r>
        <w:t>high at Cootamundra-Gundagai in an abso</w:t>
      </w:r>
      <w:r w:rsidR="0024353A">
        <w:t xml:space="preserve">lute sense, but pretty </w:t>
      </w:r>
      <w:r w:rsidR="00A52C43">
        <w:t>typical</w:t>
      </w:r>
      <w:r w:rsidR="0024353A">
        <w:t xml:space="preserve"> for the OLG11 peer group</w:t>
      </w:r>
    </w:p>
    <w:p w14:paraId="0793067B" w14:textId="304ED3D9" w:rsidR="00C93C82" w:rsidRPr="00C93C82" w:rsidRDefault="006A0D60" w:rsidP="00C93C82">
      <w:pPr>
        <w:spacing w:line="256" w:lineRule="auto"/>
        <w:rPr>
          <w:b/>
        </w:rPr>
      </w:pPr>
      <w:r>
        <w:rPr>
          <w:b/>
        </w:rPr>
        <w:t>Figure 12</w:t>
      </w:r>
      <w:r w:rsidR="00C93C82" w:rsidRPr="00C93C82">
        <w:rPr>
          <w:b/>
        </w:rPr>
        <w:t>. Gini Coefficient</w:t>
      </w:r>
      <w:r w:rsidR="006C31A7">
        <w:rPr>
          <w:b/>
        </w:rPr>
        <w:t xml:space="preserve"> Income Inequality Metric</w:t>
      </w:r>
      <w:r w:rsidR="00C93C82" w:rsidRPr="00C93C82">
        <w:rPr>
          <w:b/>
        </w:rPr>
        <w:tab/>
      </w:r>
      <w:r w:rsidR="00C93C82" w:rsidRPr="00C93C82">
        <w:rPr>
          <w:b/>
        </w:rPr>
        <w:tab/>
      </w:r>
      <w:r w:rsidR="00C93C82" w:rsidRPr="00C93C82">
        <w:rPr>
          <w:b/>
        </w:rPr>
        <w:tab/>
      </w:r>
    </w:p>
    <w:p w14:paraId="2E6C56E7" w14:textId="77777777" w:rsidR="00C93C82" w:rsidRPr="00C93C82" w:rsidRDefault="00C93C82" w:rsidP="00C93C82">
      <w:pPr>
        <w:spacing w:line="256" w:lineRule="auto"/>
        <w:rPr>
          <w:b/>
        </w:rPr>
      </w:pPr>
      <w:r w:rsidRPr="00C93C82">
        <w:rPr>
          <w:noProof/>
          <w:lang w:eastAsia="en-AU"/>
        </w:rPr>
        <mc:AlternateContent>
          <mc:Choice Requires="cx1">
            <w:drawing>
              <wp:inline distT="0" distB="0" distL="0" distR="0" wp14:anchorId="0D4EBAEE" wp14:editId="350C1B5F">
                <wp:extent cx="4317365" cy="2819400"/>
                <wp:effectExtent l="0" t="0" r="6985" b="0"/>
                <wp:docPr id="17" name="Chart 17">
                  <a:extLst xmlns:a="http://schemas.openxmlformats.org/drawingml/2006/main">
                    <a:ext uri="{FF2B5EF4-FFF2-40B4-BE49-F238E27FC236}">
                      <a16:creationId xmlns:a16="http://schemas.microsoft.com/office/drawing/2014/main" id="{9A81FD15-BDFF-4848-AB57-CE013DE8176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0D4EBAEE" wp14:editId="350C1B5F">
                <wp:extent cx="4317365" cy="2819400"/>
                <wp:effectExtent l="0" t="0" r="6985" b="0"/>
                <wp:docPr id="17" name="Chart 17">
                  <a:extLst xmlns:a="http://schemas.openxmlformats.org/drawingml/2006/main">
                    <a:ext uri="{FF2B5EF4-FFF2-40B4-BE49-F238E27FC236}">
                      <a16:creationId xmlns:a16="http://schemas.microsoft.com/office/drawing/2014/main" id="{9A81FD15-BDFF-4848-AB57-CE013DE8176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a:extLst>
                            <a:ext uri="{FF2B5EF4-FFF2-40B4-BE49-F238E27FC236}">
                              <a16:creationId xmlns:a16="http://schemas.microsoft.com/office/drawing/2014/main" id="{9A81FD15-BDFF-4848-AB57-CE013DE81760}"/>
                            </a:ext>
                          </a:extLst>
                        </pic:cNvPr>
                        <pic:cNvPicPr>
                          <a:picLocks noGrp="1" noRot="1" noChangeAspect="1" noMove="1" noResize="1" noEditPoints="1" noAdjustHandles="1" noChangeArrowheads="1" noChangeShapeType="1"/>
                        </pic:cNvPicPr>
                      </pic:nvPicPr>
                      <pic:blipFill>
                        <a:blip r:embed="rId36"/>
                        <a:stretch>
                          <a:fillRect/>
                        </a:stretch>
                      </pic:blipFill>
                      <pic:spPr>
                        <a:xfrm>
                          <a:off x="0" y="0"/>
                          <a:ext cx="4317365" cy="2819400"/>
                        </a:xfrm>
                        <a:prstGeom prst="rect">
                          <a:avLst/>
                        </a:prstGeom>
                      </pic:spPr>
                    </pic:pic>
                  </a:graphicData>
                </a:graphic>
              </wp:inline>
            </w:drawing>
          </mc:Fallback>
        </mc:AlternateContent>
      </w:r>
    </w:p>
    <w:p w14:paraId="2F67EC97" w14:textId="32A7C442" w:rsidR="00D65C5B" w:rsidRDefault="0024353A" w:rsidP="00E25A0D">
      <w:pPr>
        <w:spacing w:line="360" w:lineRule="auto"/>
      </w:pPr>
      <w:r>
        <w:t>Of course, all of the aforementioned data is not definitive with respect to the capacity to absorb a special rate variation. First, people need to be mindful that the figures are most relevant to residential assessments. Farm assessments inevitably have additional revenue sources which I examine later in this report. Moreover, non-farm business capacity is influenced not only by the relative wealth of citizens in the catchment area, but also volumes, as well as the nature of the good sold (non-discretionary goods are far less influenced by the wealth of residents than are discretionary goods and services). Thus</w:t>
      </w:r>
      <w:r w:rsidR="005D2C65">
        <w:t>,</w:t>
      </w:r>
      <w:r>
        <w:t xml:space="preserve"> the data that we have reviewed to date has little relevance to the capacity of the farm category to absorb a special rate variation, and only limited relevance for non-farm business capacity.</w:t>
      </w:r>
    </w:p>
    <w:p w14:paraId="1420A3AA" w14:textId="7BBCED3D" w:rsidR="0024353A" w:rsidRPr="0024353A" w:rsidRDefault="0024353A" w:rsidP="00E25A0D">
      <w:pPr>
        <w:spacing w:line="360" w:lineRule="auto"/>
      </w:pPr>
      <w:r>
        <w:lastRenderedPageBreak/>
        <w:t>In addition, it must be rem</w:t>
      </w:r>
      <w:r w:rsidR="00AE0C5F">
        <w:t>embered that rates are paid out of</w:t>
      </w:r>
      <w:r>
        <w:t xml:space="preserve"> only a </w:t>
      </w:r>
      <w:r w:rsidRPr="00A52C43">
        <w:rPr>
          <w:i/>
        </w:rPr>
        <w:t>portion</w:t>
      </w:r>
      <w:r>
        <w:t xml:space="preserve"> of household income flows. In Figure 13, I chart the median </w:t>
      </w:r>
      <w:r w:rsidR="00CC000A">
        <w:t>‘</w:t>
      </w:r>
      <w:r>
        <w:t>equivalised</w:t>
      </w:r>
      <w:r w:rsidR="00CC000A">
        <w:rPr>
          <w:rStyle w:val="FootnoteReference"/>
        </w:rPr>
        <w:footnoteReference w:id="3"/>
      </w:r>
      <w:r w:rsidR="00CC000A">
        <w:t>’</w:t>
      </w:r>
      <w:r>
        <w:t xml:space="preserve"> household income for Cootamundra-Gundagai relative to the OLG11 peer group. In a relative sense </w:t>
      </w:r>
      <w:r w:rsidR="00CC000A">
        <w:t>household income seems</w:t>
      </w:r>
      <w:r>
        <w:t xml:space="preserve"> low, but this figure alone is likely to mislead.</w:t>
      </w:r>
    </w:p>
    <w:p w14:paraId="7E7DBE2A" w14:textId="13B1D078" w:rsidR="00CC000A" w:rsidRDefault="006A0D60" w:rsidP="00C93C82">
      <w:pPr>
        <w:spacing w:line="256" w:lineRule="auto"/>
        <w:rPr>
          <w:b/>
        </w:rPr>
      </w:pPr>
      <w:r>
        <w:rPr>
          <w:b/>
        </w:rPr>
        <w:t>Figure 13</w:t>
      </w:r>
      <w:r w:rsidR="00C93C82" w:rsidRPr="00C93C82">
        <w:rPr>
          <w:b/>
        </w:rPr>
        <w:t xml:space="preserve">. </w:t>
      </w:r>
      <w:r>
        <w:rPr>
          <w:b/>
        </w:rPr>
        <w:t xml:space="preserve">Median </w:t>
      </w:r>
      <w:r w:rsidR="00C93C82" w:rsidRPr="00C93C82">
        <w:rPr>
          <w:b/>
        </w:rPr>
        <w:t>Equivalised Household Income (weekly)</w:t>
      </w:r>
      <w:r w:rsidR="00C93C82" w:rsidRPr="00C93C82">
        <w:rPr>
          <w:b/>
        </w:rPr>
        <w:tab/>
      </w:r>
    </w:p>
    <w:p w14:paraId="69B59003" w14:textId="27973482" w:rsidR="00C93C82" w:rsidRDefault="00C93C82" w:rsidP="00C93C82">
      <w:pPr>
        <w:spacing w:line="256" w:lineRule="auto"/>
        <w:rPr>
          <w:b/>
        </w:rPr>
      </w:pPr>
      <w:r w:rsidRPr="00C93C82">
        <w:rPr>
          <w:noProof/>
          <w:lang w:eastAsia="en-AU"/>
        </w:rPr>
        <mc:AlternateContent>
          <mc:Choice Requires="cx1">
            <w:drawing>
              <wp:inline distT="0" distB="0" distL="0" distR="0" wp14:anchorId="7562B37B" wp14:editId="4B8936FE">
                <wp:extent cx="4317420" cy="2297927"/>
                <wp:effectExtent l="0" t="0" r="6985" b="7620"/>
                <wp:docPr id="18" name="Chart 18">
                  <a:extLst xmlns:a="http://schemas.openxmlformats.org/drawingml/2006/main">
                    <a:ext uri="{FF2B5EF4-FFF2-40B4-BE49-F238E27FC236}">
                      <a16:creationId xmlns:a16="http://schemas.microsoft.com/office/drawing/2014/main" id="{5AF08CBD-AF9B-4B1A-B33D-17FD8262524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7"/>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562B37B" wp14:editId="4B8936FE">
                <wp:extent cx="4317420" cy="2297927"/>
                <wp:effectExtent l="0" t="0" r="6985" b="7620"/>
                <wp:docPr id="18" name="Chart 18">
                  <a:extLst xmlns:a="http://schemas.openxmlformats.org/drawingml/2006/main">
                    <a:ext uri="{FF2B5EF4-FFF2-40B4-BE49-F238E27FC236}">
                      <a16:creationId xmlns:a16="http://schemas.microsoft.com/office/drawing/2014/main" id="{5AF08CBD-AF9B-4B1A-B33D-17FD8262524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 name="Chart 18">
                          <a:extLst>
                            <a:ext uri="{FF2B5EF4-FFF2-40B4-BE49-F238E27FC236}">
                              <a16:creationId xmlns:a16="http://schemas.microsoft.com/office/drawing/2014/main" id="{5AF08CBD-AF9B-4B1A-B33D-17FD82625241}"/>
                            </a:ext>
                          </a:extLst>
                        </pic:cNvPr>
                        <pic:cNvPicPr>
                          <a:picLocks noGrp="1" noRot="1" noChangeAspect="1" noMove="1" noResize="1" noEditPoints="1" noAdjustHandles="1" noChangeArrowheads="1" noChangeShapeType="1"/>
                        </pic:cNvPicPr>
                      </pic:nvPicPr>
                      <pic:blipFill>
                        <a:blip r:embed="rId38"/>
                        <a:stretch>
                          <a:fillRect/>
                        </a:stretch>
                      </pic:blipFill>
                      <pic:spPr>
                        <a:xfrm>
                          <a:off x="0" y="0"/>
                          <a:ext cx="4317365" cy="2297430"/>
                        </a:xfrm>
                        <a:prstGeom prst="rect">
                          <a:avLst/>
                        </a:prstGeom>
                      </pic:spPr>
                    </pic:pic>
                  </a:graphicData>
                </a:graphic>
              </wp:inline>
            </w:drawing>
          </mc:Fallback>
        </mc:AlternateContent>
      </w:r>
    </w:p>
    <w:p w14:paraId="6EC61971" w14:textId="77777777" w:rsidR="00F94BAB" w:rsidRPr="00C93C82" w:rsidRDefault="00F94BAB" w:rsidP="00C93C82">
      <w:pPr>
        <w:spacing w:line="256" w:lineRule="auto"/>
        <w:rPr>
          <w:b/>
        </w:rPr>
      </w:pPr>
    </w:p>
    <w:p w14:paraId="3F90ECA2" w14:textId="27EB6C4C" w:rsidR="00D65C5B" w:rsidRPr="00223A8A" w:rsidRDefault="00223A8A" w:rsidP="00E25A0D">
      <w:pPr>
        <w:spacing w:line="360" w:lineRule="auto"/>
      </w:pPr>
      <w:r w:rsidRPr="00223A8A">
        <w:t>Each census the</w:t>
      </w:r>
      <w:r>
        <w:t xml:space="preserve"> ABS calculates two important household stress indicators</w:t>
      </w:r>
      <w:r w:rsidR="00A52C43">
        <w:t xml:space="preserve"> that put equivalised household income into </w:t>
      </w:r>
      <w:r w:rsidR="00CC000A">
        <w:t xml:space="preserve">better </w:t>
      </w:r>
      <w:r w:rsidR="00A52C43">
        <w:t>perspective</w:t>
      </w:r>
      <w:r>
        <w:t xml:space="preserve">. The first is the proportion of households where the mortgage repayments are greater or equal to thirty percent. This metric is important because it provides an insight into how much of a </w:t>
      </w:r>
      <w:r w:rsidR="00CC000A">
        <w:t>household’s</w:t>
      </w:r>
      <w:r>
        <w:t xml:space="preserve"> income is dedicated to perhaps the largest category of expenditure – housing costs. As Figure 14 shows Cootamundra-Gundagai residents have some of the lowest household stress indicators in the peer group.</w:t>
      </w:r>
    </w:p>
    <w:p w14:paraId="33E5FA15" w14:textId="77777777" w:rsidR="007F41B0" w:rsidRDefault="007F41B0">
      <w:pPr>
        <w:rPr>
          <w:b/>
        </w:rPr>
      </w:pPr>
      <w:r>
        <w:rPr>
          <w:b/>
        </w:rPr>
        <w:br w:type="page"/>
      </w:r>
    </w:p>
    <w:p w14:paraId="4F98A36D" w14:textId="1E5E127A" w:rsidR="00C93C82" w:rsidRPr="00C93C82" w:rsidRDefault="0024353A" w:rsidP="00C93C82">
      <w:pPr>
        <w:spacing w:line="256" w:lineRule="auto"/>
        <w:rPr>
          <w:b/>
        </w:rPr>
      </w:pPr>
      <w:r>
        <w:rPr>
          <w:b/>
        </w:rPr>
        <w:lastRenderedPageBreak/>
        <w:t>Figure 14</w:t>
      </w:r>
      <w:r w:rsidR="00CC000A">
        <w:rPr>
          <w:b/>
        </w:rPr>
        <w:t>. Household S</w:t>
      </w:r>
      <w:r w:rsidR="00C93C82" w:rsidRPr="00C93C82">
        <w:rPr>
          <w:b/>
        </w:rPr>
        <w:t>tress (mortgage greater or equal to 30%)</w:t>
      </w:r>
      <w:r w:rsidR="00C93C82" w:rsidRPr="00C93C82">
        <w:rPr>
          <w:b/>
        </w:rPr>
        <w:tab/>
      </w:r>
    </w:p>
    <w:p w14:paraId="2DC275B9" w14:textId="19F7A1E6" w:rsidR="00C93C82" w:rsidRDefault="00C93C82" w:rsidP="00C93C82">
      <w:pPr>
        <w:spacing w:line="256" w:lineRule="auto"/>
        <w:rPr>
          <w:b/>
        </w:rPr>
      </w:pPr>
      <w:r w:rsidRPr="00C93C82">
        <w:rPr>
          <w:noProof/>
          <w:lang w:eastAsia="en-AU"/>
        </w:rPr>
        <mc:AlternateContent>
          <mc:Choice Requires="cx1">
            <w:drawing>
              <wp:inline distT="0" distB="0" distL="0" distR="0" wp14:anchorId="182B0DFB" wp14:editId="20F08DA4">
                <wp:extent cx="4325510" cy="2870421"/>
                <wp:effectExtent l="0" t="0" r="18415" b="6350"/>
                <wp:docPr id="20" name="Chart 20">
                  <a:extLst xmlns:a="http://schemas.openxmlformats.org/drawingml/2006/main">
                    <a:ext uri="{FF2B5EF4-FFF2-40B4-BE49-F238E27FC236}">
                      <a16:creationId xmlns:a16="http://schemas.microsoft.com/office/drawing/2014/main" id="{8BC4BCB0-3CFA-49EF-B8F6-C317F3DB9C1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9"/>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182B0DFB" wp14:editId="20F08DA4">
                <wp:extent cx="4325510" cy="2870421"/>
                <wp:effectExtent l="0" t="0" r="18415" b="6350"/>
                <wp:docPr id="20" name="Chart 20">
                  <a:extLst xmlns:a="http://schemas.openxmlformats.org/drawingml/2006/main">
                    <a:ext uri="{FF2B5EF4-FFF2-40B4-BE49-F238E27FC236}">
                      <a16:creationId xmlns:a16="http://schemas.microsoft.com/office/drawing/2014/main" id="{8BC4BCB0-3CFA-49EF-B8F6-C317F3DB9C1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 name="Chart 20">
                          <a:extLst>
                            <a:ext uri="{FF2B5EF4-FFF2-40B4-BE49-F238E27FC236}">
                              <a16:creationId xmlns:a16="http://schemas.microsoft.com/office/drawing/2014/main" id="{8BC4BCB0-3CFA-49EF-B8F6-C317F3DB9C17}"/>
                            </a:ext>
                          </a:extLst>
                        </pic:cNvPr>
                        <pic:cNvPicPr>
                          <a:picLocks noGrp="1" noRot="1" noChangeAspect="1" noMove="1" noResize="1" noEditPoints="1" noAdjustHandles="1" noChangeArrowheads="1" noChangeShapeType="1"/>
                        </pic:cNvPicPr>
                      </pic:nvPicPr>
                      <pic:blipFill>
                        <a:blip r:embed="rId40"/>
                        <a:stretch>
                          <a:fillRect/>
                        </a:stretch>
                      </pic:blipFill>
                      <pic:spPr>
                        <a:xfrm>
                          <a:off x="0" y="0"/>
                          <a:ext cx="4324985" cy="2870200"/>
                        </a:xfrm>
                        <a:prstGeom prst="rect">
                          <a:avLst/>
                        </a:prstGeom>
                      </pic:spPr>
                    </pic:pic>
                  </a:graphicData>
                </a:graphic>
              </wp:inline>
            </w:drawing>
          </mc:Fallback>
        </mc:AlternateContent>
      </w:r>
    </w:p>
    <w:p w14:paraId="4C0AA449" w14:textId="77777777" w:rsidR="00F94BAB" w:rsidRPr="00C93C82" w:rsidRDefault="00F94BAB" w:rsidP="00C93C82">
      <w:pPr>
        <w:spacing w:line="256" w:lineRule="auto"/>
        <w:rPr>
          <w:b/>
        </w:rPr>
      </w:pPr>
    </w:p>
    <w:p w14:paraId="2CDC61A9" w14:textId="5A59AF42" w:rsidR="00D65C5B" w:rsidRPr="00223A8A" w:rsidRDefault="00A52C43" w:rsidP="00E25A0D">
      <w:pPr>
        <w:spacing w:line="360" w:lineRule="auto"/>
      </w:pPr>
      <w:r>
        <w:t xml:space="preserve">The second </w:t>
      </w:r>
      <w:r w:rsidR="00CC000A">
        <w:t xml:space="preserve">important indicator </w:t>
      </w:r>
      <w:r>
        <w:t>is household stress arising for renters which I present in Figure 15</w:t>
      </w:r>
      <w:r w:rsidR="00223A8A">
        <w:t>. Of course, people who rent their housing generally do not pay rates directly. However, local government taxes are indeed effectively incorporated into the rental price. Moreover, relatively low levels of renter stress indicate potential for landlords to better cope with the outcomes from a special rate variation.</w:t>
      </w:r>
      <w:r>
        <w:t xml:space="preserve"> In this matter also</w:t>
      </w:r>
      <w:r w:rsidR="00223A8A">
        <w:t xml:space="preserve">, Cootamundra-Gundagai is shown to have relatively low levels of household stress. </w:t>
      </w:r>
    </w:p>
    <w:p w14:paraId="2CCB9003" w14:textId="77777777" w:rsidR="00F94BAB" w:rsidRDefault="00F94BAB">
      <w:pPr>
        <w:rPr>
          <w:b/>
        </w:rPr>
      </w:pPr>
      <w:r>
        <w:rPr>
          <w:b/>
        </w:rPr>
        <w:br w:type="page"/>
      </w:r>
    </w:p>
    <w:p w14:paraId="18E9139F" w14:textId="186088DA" w:rsidR="00C93C82" w:rsidRPr="00C93C82" w:rsidRDefault="0024353A" w:rsidP="00C93C82">
      <w:pPr>
        <w:spacing w:line="256" w:lineRule="auto"/>
        <w:rPr>
          <w:b/>
        </w:rPr>
      </w:pPr>
      <w:r>
        <w:rPr>
          <w:b/>
        </w:rPr>
        <w:lastRenderedPageBreak/>
        <w:t>Figure 15</w:t>
      </w:r>
      <w:r w:rsidR="00CC000A">
        <w:rPr>
          <w:b/>
        </w:rPr>
        <w:t>. Household S</w:t>
      </w:r>
      <w:r w:rsidR="00C93C82" w:rsidRPr="00C93C82">
        <w:rPr>
          <w:b/>
        </w:rPr>
        <w:t>tress (rent greater or equal to 30%)</w:t>
      </w:r>
      <w:r w:rsidR="00C93C82" w:rsidRPr="00C93C82">
        <w:rPr>
          <w:b/>
        </w:rPr>
        <w:tab/>
      </w:r>
      <w:r w:rsidR="00C93C82" w:rsidRPr="00C93C82">
        <w:rPr>
          <w:b/>
        </w:rPr>
        <w:tab/>
      </w:r>
    </w:p>
    <w:p w14:paraId="40A27B0D" w14:textId="4A6ECACB" w:rsidR="00C93C82" w:rsidRDefault="00C93C82" w:rsidP="00C93C82">
      <w:pPr>
        <w:spacing w:line="256" w:lineRule="auto"/>
        <w:rPr>
          <w:b/>
        </w:rPr>
      </w:pPr>
      <w:r w:rsidRPr="00C93C82">
        <w:rPr>
          <w:noProof/>
          <w:lang w:eastAsia="en-AU"/>
        </w:rPr>
        <mc:AlternateContent>
          <mc:Choice Requires="cx1">
            <w:drawing>
              <wp:inline distT="0" distB="0" distL="0" distR="0" wp14:anchorId="345775B8" wp14:editId="0D8798A9">
                <wp:extent cx="4333461" cy="2822713"/>
                <wp:effectExtent l="0" t="0" r="10160" b="15875"/>
                <wp:docPr id="21" name="Chart 21">
                  <a:extLst xmlns:a="http://schemas.openxmlformats.org/drawingml/2006/main">
                    <a:ext uri="{FF2B5EF4-FFF2-40B4-BE49-F238E27FC236}">
                      <a16:creationId xmlns:a16="http://schemas.microsoft.com/office/drawing/2014/main" id="{2106CC2B-0EEA-40E9-8F73-527B8009996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1"/>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45775B8" wp14:editId="0D8798A9">
                <wp:extent cx="4333461" cy="2822713"/>
                <wp:effectExtent l="0" t="0" r="10160" b="15875"/>
                <wp:docPr id="21" name="Chart 21">
                  <a:extLst xmlns:a="http://schemas.openxmlformats.org/drawingml/2006/main">
                    <a:ext uri="{FF2B5EF4-FFF2-40B4-BE49-F238E27FC236}">
                      <a16:creationId xmlns:a16="http://schemas.microsoft.com/office/drawing/2014/main" id="{2106CC2B-0EEA-40E9-8F73-527B8009996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a:extLst>
                            <a:ext uri="{FF2B5EF4-FFF2-40B4-BE49-F238E27FC236}">
                              <a16:creationId xmlns:a16="http://schemas.microsoft.com/office/drawing/2014/main" id="{2106CC2B-0EEA-40E9-8F73-527B8009996B}"/>
                            </a:ext>
                          </a:extLst>
                        </pic:cNvPr>
                        <pic:cNvPicPr>
                          <a:picLocks noGrp="1" noRot="1" noChangeAspect="1" noMove="1" noResize="1" noEditPoints="1" noAdjustHandles="1" noChangeArrowheads="1" noChangeShapeType="1"/>
                        </pic:cNvPicPr>
                      </pic:nvPicPr>
                      <pic:blipFill>
                        <a:blip r:embed="rId42"/>
                        <a:stretch>
                          <a:fillRect/>
                        </a:stretch>
                      </pic:blipFill>
                      <pic:spPr>
                        <a:xfrm>
                          <a:off x="0" y="0"/>
                          <a:ext cx="4333240" cy="2822575"/>
                        </a:xfrm>
                        <a:prstGeom prst="rect">
                          <a:avLst/>
                        </a:prstGeom>
                      </pic:spPr>
                    </pic:pic>
                  </a:graphicData>
                </a:graphic>
              </wp:inline>
            </w:drawing>
          </mc:Fallback>
        </mc:AlternateContent>
      </w:r>
    </w:p>
    <w:p w14:paraId="17669F0C" w14:textId="77777777" w:rsidR="00F94BAB" w:rsidRPr="00C93C82" w:rsidRDefault="00F94BAB" w:rsidP="00C93C82">
      <w:pPr>
        <w:spacing w:line="256" w:lineRule="auto"/>
        <w:rPr>
          <w:b/>
        </w:rPr>
      </w:pPr>
    </w:p>
    <w:p w14:paraId="38B8C939" w14:textId="02732944" w:rsidR="00223A8A" w:rsidRPr="00223A8A" w:rsidRDefault="00223A8A" w:rsidP="00E25A0D">
      <w:pPr>
        <w:spacing w:line="360" w:lineRule="auto"/>
      </w:pPr>
      <w:r>
        <w:t xml:space="preserve">The reason for the very low levels of household stress in Cootamundra-Gundagai </w:t>
      </w:r>
      <w:r w:rsidR="00CC000A">
        <w:t>is</w:t>
      </w:r>
      <w:r>
        <w:t>, of course, very low house prices</w:t>
      </w:r>
      <w:r w:rsidR="00A52C43">
        <w:t xml:space="preserve"> (in a relative sense)</w:t>
      </w:r>
      <w:r>
        <w:t>. In Figure 16 I chart the median house sales prices which are consistently in the lowest quartile of the OLG11 peer group over the post-census period. This suggests that the census measures of household stress probably have not changed much since 2016.</w:t>
      </w:r>
    </w:p>
    <w:p w14:paraId="19868EB6" w14:textId="77777777" w:rsidR="00CC000A" w:rsidRDefault="00CC000A">
      <w:pPr>
        <w:rPr>
          <w:b/>
        </w:rPr>
      </w:pPr>
      <w:r>
        <w:rPr>
          <w:b/>
        </w:rPr>
        <w:br w:type="page"/>
      </w:r>
    </w:p>
    <w:p w14:paraId="49913800" w14:textId="1C2A0941" w:rsidR="00F856E6" w:rsidRPr="00C93C82" w:rsidRDefault="0024353A" w:rsidP="00F856E6">
      <w:pPr>
        <w:spacing w:line="256" w:lineRule="auto"/>
        <w:rPr>
          <w:b/>
        </w:rPr>
      </w:pPr>
      <w:r>
        <w:rPr>
          <w:b/>
        </w:rPr>
        <w:lastRenderedPageBreak/>
        <w:t>Figure</w:t>
      </w:r>
      <w:r w:rsidR="00F94BAB">
        <w:rPr>
          <w:b/>
        </w:rPr>
        <w:t xml:space="preserve"> </w:t>
      </w:r>
      <w:r>
        <w:rPr>
          <w:b/>
        </w:rPr>
        <w:t>16</w:t>
      </w:r>
      <w:r w:rsidR="002E0D4A">
        <w:rPr>
          <w:b/>
        </w:rPr>
        <w:t>. Houses (Median Sales P</w:t>
      </w:r>
      <w:r w:rsidR="00F856E6" w:rsidRPr="00C93C82">
        <w:rPr>
          <w:b/>
        </w:rPr>
        <w:t>rice)</w:t>
      </w:r>
    </w:p>
    <w:p w14:paraId="631E3BBA" w14:textId="56F045E8" w:rsidR="00F856E6" w:rsidRDefault="00F856E6" w:rsidP="00F856E6">
      <w:pPr>
        <w:spacing w:line="256" w:lineRule="auto"/>
        <w:rPr>
          <w:b/>
        </w:rPr>
      </w:pPr>
      <w:r w:rsidRPr="00C93C82">
        <w:rPr>
          <w:noProof/>
          <w:lang w:eastAsia="en-AU"/>
        </w:rPr>
        <mc:AlternateContent>
          <mc:Choice Requires="cx1">
            <w:drawing>
              <wp:inline distT="0" distB="0" distL="0" distR="0" wp14:anchorId="19E645B5" wp14:editId="3724021A">
                <wp:extent cx="4317559" cy="2854519"/>
                <wp:effectExtent l="0" t="0" r="6985" b="3175"/>
                <wp:docPr id="19" name="Chart 19">
                  <a:extLst xmlns:a="http://schemas.openxmlformats.org/drawingml/2006/main">
                    <a:ext uri="{FF2B5EF4-FFF2-40B4-BE49-F238E27FC236}">
                      <a16:creationId xmlns:a16="http://schemas.microsoft.com/office/drawing/2014/main" id="{BD46E91F-EAED-4AE5-890E-5721BCADF73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3"/>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19E645B5" wp14:editId="3724021A">
                <wp:extent cx="4317559" cy="2854519"/>
                <wp:effectExtent l="0" t="0" r="6985" b="3175"/>
                <wp:docPr id="19" name="Chart 19">
                  <a:extLst xmlns:a="http://schemas.openxmlformats.org/drawingml/2006/main">
                    <a:ext uri="{FF2B5EF4-FFF2-40B4-BE49-F238E27FC236}">
                      <a16:creationId xmlns:a16="http://schemas.microsoft.com/office/drawing/2014/main" id="{BD46E91F-EAED-4AE5-890E-5721BCADF73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 name="Chart 19">
                          <a:extLst>
                            <a:ext uri="{FF2B5EF4-FFF2-40B4-BE49-F238E27FC236}">
                              <a16:creationId xmlns:a16="http://schemas.microsoft.com/office/drawing/2014/main" id="{BD46E91F-EAED-4AE5-890E-5721BCADF73B}"/>
                            </a:ext>
                          </a:extLst>
                        </pic:cNvPr>
                        <pic:cNvPicPr>
                          <a:picLocks noGrp="1" noRot="1" noChangeAspect="1" noMove="1" noResize="1" noEditPoints="1" noAdjustHandles="1" noChangeArrowheads="1" noChangeShapeType="1"/>
                        </pic:cNvPicPr>
                      </pic:nvPicPr>
                      <pic:blipFill>
                        <a:blip r:embed="rId44"/>
                        <a:stretch>
                          <a:fillRect/>
                        </a:stretch>
                      </pic:blipFill>
                      <pic:spPr>
                        <a:xfrm>
                          <a:off x="0" y="0"/>
                          <a:ext cx="4317365" cy="2854325"/>
                        </a:xfrm>
                        <a:prstGeom prst="rect">
                          <a:avLst/>
                        </a:prstGeom>
                      </pic:spPr>
                    </pic:pic>
                  </a:graphicData>
                </a:graphic>
              </wp:inline>
            </w:drawing>
          </mc:Fallback>
        </mc:AlternateContent>
      </w:r>
    </w:p>
    <w:p w14:paraId="5AB6B81C" w14:textId="77777777" w:rsidR="00F94BAB" w:rsidRPr="00C93C82" w:rsidRDefault="00F94BAB" w:rsidP="00F856E6">
      <w:pPr>
        <w:spacing w:line="256" w:lineRule="auto"/>
        <w:rPr>
          <w:b/>
        </w:rPr>
      </w:pPr>
    </w:p>
    <w:p w14:paraId="69C0E596" w14:textId="6FEE9AAB" w:rsidR="00D65C5B" w:rsidRPr="00223A8A" w:rsidRDefault="00223A8A" w:rsidP="007F41B0">
      <w:pPr>
        <w:spacing w:line="360" w:lineRule="auto"/>
      </w:pPr>
      <w:r>
        <w:t>In sum,</w:t>
      </w:r>
      <w:r w:rsidR="00A52C43">
        <w:t xml:space="preserve"> most intercensal economic metrics suggest that </w:t>
      </w:r>
      <w:r w:rsidR="00CC000A">
        <w:t>Cootamundra</w:t>
      </w:r>
      <w:r w:rsidR="00A52C43">
        <w:t xml:space="preserve">-Gundagai residential ratepayers have lower than typical flows of income. However, one must be mindful that the low flows of income are more than mitigated by consistently low housing costs. Indeed, Cootamundra-Gundagai had very low levels of household stress in the last census which is likely to still be the case given stubbornly low median house prices. When one considers the whole picture in this way, one can only reasonably conclude that </w:t>
      </w:r>
      <w:r w:rsidR="005D2C65">
        <w:t>residential ratepayers do</w:t>
      </w:r>
      <w:r w:rsidR="00A52C43">
        <w:t xml:space="preserve"> have the capacity to bear additional local government taxation burdens. Indeed, this interim conclusion will be conclusively demonstrated in the regression analysis detailed in the penultimate section of this report. In the next section</w:t>
      </w:r>
      <w:r w:rsidR="00CC000A">
        <w:t>,</w:t>
      </w:r>
      <w:r w:rsidR="00A52C43">
        <w:t xml:space="preserve"> I outline a generally overlooked but very important measure of income flows that relates directly to the capacity to pay of business and farm business ratepayers</w:t>
      </w:r>
      <w:r w:rsidR="00CC000A">
        <w:t>,</w:t>
      </w:r>
      <w:r w:rsidR="00A52C43">
        <w:t xml:space="preserve"> who combined </w:t>
      </w:r>
      <w:r w:rsidR="005971C9">
        <w:t>account for almost six</w:t>
      </w:r>
      <w:r w:rsidR="002C2105">
        <w:t>ty-two percent of the gross tax-</w:t>
      </w:r>
      <w:r w:rsidR="005971C9">
        <w:t>take in the local government area.</w:t>
      </w:r>
    </w:p>
    <w:p w14:paraId="283D8E19" w14:textId="77777777" w:rsidR="00223A8A" w:rsidRDefault="00223A8A">
      <w:pPr>
        <w:rPr>
          <w:b/>
        </w:rPr>
      </w:pPr>
      <w:r>
        <w:rPr>
          <w:b/>
        </w:rPr>
        <w:br w:type="page"/>
      </w:r>
    </w:p>
    <w:p w14:paraId="0386ED10" w14:textId="024EE897" w:rsidR="00D65C5B" w:rsidRDefault="00223A8A">
      <w:pPr>
        <w:rPr>
          <w:b/>
        </w:rPr>
      </w:pPr>
      <w:r>
        <w:rPr>
          <w:b/>
        </w:rPr>
        <w:lastRenderedPageBreak/>
        <w:t xml:space="preserve">4. </w:t>
      </w:r>
      <w:r w:rsidR="006C31A7">
        <w:rPr>
          <w:b/>
        </w:rPr>
        <w:t>Unincorporated Business Income</w:t>
      </w:r>
    </w:p>
    <w:p w14:paraId="5228B5DA" w14:textId="0F8133D7" w:rsidR="006C31A7" w:rsidRPr="00F900FC" w:rsidRDefault="00A14584" w:rsidP="002A6F6D">
      <w:pPr>
        <w:spacing w:line="360" w:lineRule="auto"/>
      </w:pPr>
      <w:r>
        <w:t xml:space="preserve">Table 3 lists both commonly employed measures of central tendency for unincorporated business income for the most recent year available from the ABS. As can be seen, unincorporated business income </w:t>
      </w:r>
      <w:r w:rsidR="00BA34D7">
        <w:t xml:space="preserve">at Cootamundra-Gundagai </w:t>
      </w:r>
      <w:r>
        <w:t xml:space="preserve">is far higher than the OLG11 peer group by either measure. </w:t>
      </w:r>
    </w:p>
    <w:p w14:paraId="7C7A908D" w14:textId="5167E4F9" w:rsidR="006C31A7" w:rsidRPr="006C31A7" w:rsidRDefault="006C31A7">
      <w:pPr>
        <w:rPr>
          <w:b/>
        </w:rPr>
      </w:pPr>
      <w:r w:rsidRPr="006C31A7">
        <w:rPr>
          <w:b/>
        </w:rPr>
        <w:t>Table 3. Unincorporated Business Income, 2017.</w:t>
      </w:r>
    </w:p>
    <w:tbl>
      <w:tblPr>
        <w:tblW w:w="6500" w:type="dxa"/>
        <w:tblLook w:val="04A0" w:firstRow="1" w:lastRow="0" w:firstColumn="1" w:lastColumn="0" w:noHBand="0" w:noVBand="1"/>
      </w:tblPr>
      <w:tblGrid>
        <w:gridCol w:w="3180"/>
        <w:gridCol w:w="1667"/>
        <w:gridCol w:w="1667"/>
      </w:tblGrid>
      <w:tr w:rsidR="00A14584" w:rsidRPr="00A14584" w14:paraId="20B594A5" w14:textId="77777777" w:rsidTr="00A14584">
        <w:trPr>
          <w:trHeight w:val="120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057115" w14:textId="77777777" w:rsidR="00A14584" w:rsidRPr="00A14584" w:rsidRDefault="00A14584" w:rsidP="00A14584">
            <w:pPr>
              <w:spacing w:after="0" w:line="240" w:lineRule="auto"/>
              <w:rPr>
                <w:rFonts w:ascii="Calibri" w:eastAsia="Times New Roman" w:hAnsi="Calibri" w:cs="Calibri"/>
                <w:b/>
                <w:bCs/>
                <w:color w:val="000000"/>
                <w:sz w:val="22"/>
                <w:lang w:eastAsia="en-AU"/>
              </w:rPr>
            </w:pPr>
            <w:r w:rsidRPr="00A14584">
              <w:rPr>
                <w:rFonts w:ascii="Calibri" w:eastAsia="Times New Roman" w:hAnsi="Calibri" w:cs="Calibri"/>
                <w:b/>
                <w:bCs/>
                <w:color w:val="000000"/>
                <w:sz w:val="22"/>
                <w:lang w:eastAsia="en-AU"/>
              </w:rPr>
              <w:t>Council</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0D0372D" w14:textId="4BE748FA" w:rsidR="00A14584" w:rsidRPr="00A14584" w:rsidRDefault="00A14584" w:rsidP="00A14584">
            <w:pPr>
              <w:spacing w:after="0" w:line="240" w:lineRule="auto"/>
              <w:rPr>
                <w:rFonts w:ascii="Calibri" w:eastAsia="Times New Roman" w:hAnsi="Calibri" w:cs="Calibri"/>
                <w:b/>
                <w:bCs/>
                <w:color w:val="000000"/>
                <w:sz w:val="22"/>
                <w:lang w:eastAsia="en-AU"/>
              </w:rPr>
            </w:pPr>
            <w:r w:rsidRPr="00A14584">
              <w:rPr>
                <w:rFonts w:ascii="Calibri" w:eastAsia="Times New Roman" w:hAnsi="Calibri" w:cs="Calibri"/>
                <w:b/>
                <w:bCs/>
                <w:color w:val="000000"/>
                <w:sz w:val="22"/>
                <w:lang w:eastAsia="en-AU"/>
              </w:rPr>
              <w:t>Median Unincorporated Business Income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2EE19FA0" w14:textId="77777777" w:rsidR="00A14584" w:rsidRPr="00A14584" w:rsidRDefault="00A14584" w:rsidP="00A14584">
            <w:pPr>
              <w:spacing w:after="0" w:line="240" w:lineRule="auto"/>
              <w:rPr>
                <w:rFonts w:ascii="Calibri" w:eastAsia="Times New Roman" w:hAnsi="Calibri" w:cs="Calibri"/>
                <w:b/>
                <w:bCs/>
                <w:color w:val="000000"/>
                <w:sz w:val="22"/>
                <w:lang w:eastAsia="en-AU"/>
              </w:rPr>
            </w:pPr>
            <w:r w:rsidRPr="00A14584">
              <w:rPr>
                <w:rFonts w:ascii="Calibri" w:eastAsia="Times New Roman" w:hAnsi="Calibri" w:cs="Calibri"/>
                <w:b/>
                <w:bCs/>
                <w:color w:val="000000"/>
                <w:sz w:val="22"/>
                <w:lang w:eastAsia="en-AU"/>
              </w:rPr>
              <w:t>Mean Unincorporated Business Income</w:t>
            </w:r>
          </w:p>
        </w:tc>
      </w:tr>
      <w:tr w:rsidR="00A14584" w:rsidRPr="00A14584" w14:paraId="193D9AA8"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1143769"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Bellingen</w:t>
            </w:r>
          </w:p>
        </w:tc>
        <w:tc>
          <w:tcPr>
            <w:tcW w:w="1660" w:type="dxa"/>
            <w:tcBorders>
              <w:top w:val="nil"/>
              <w:left w:val="nil"/>
              <w:bottom w:val="single" w:sz="4" w:space="0" w:color="auto"/>
              <w:right w:val="single" w:sz="4" w:space="0" w:color="auto"/>
            </w:tcBorders>
            <w:shd w:val="clear" w:color="auto" w:fill="auto"/>
            <w:noWrap/>
            <w:vAlign w:val="bottom"/>
            <w:hideMark/>
          </w:tcPr>
          <w:p w14:paraId="2F9E9D33"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8421</w:t>
            </w:r>
          </w:p>
        </w:tc>
        <w:tc>
          <w:tcPr>
            <w:tcW w:w="1660" w:type="dxa"/>
            <w:tcBorders>
              <w:top w:val="nil"/>
              <w:left w:val="nil"/>
              <w:bottom w:val="single" w:sz="4" w:space="0" w:color="auto"/>
              <w:right w:val="single" w:sz="4" w:space="0" w:color="auto"/>
            </w:tcBorders>
            <w:shd w:val="clear" w:color="auto" w:fill="auto"/>
            <w:noWrap/>
            <w:vAlign w:val="bottom"/>
            <w:hideMark/>
          </w:tcPr>
          <w:p w14:paraId="73017049"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16843</w:t>
            </w:r>
          </w:p>
        </w:tc>
      </w:tr>
      <w:tr w:rsidR="00A14584" w:rsidRPr="00A14584" w14:paraId="40A92FFE"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B62D580"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Cabonne</w:t>
            </w:r>
          </w:p>
        </w:tc>
        <w:tc>
          <w:tcPr>
            <w:tcW w:w="1660" w:type="dxa"/>
            <w:tcBorders>
              <w:top w:val="nil"/>
              <w:left w:val="nil"/>
              <w:bottom w:val="single" w:sz="4" w:space="0" w:color="auto"/>
              <w:right w:val="single" w:sz="4" w:space="0" w:color="auto"/>
            </w:tcBorders>
            <w:shd w:val="clear" w:color="auto" w:fill="auto"/>
            <w:noWrap/>
            <w:vAlign w:val="bottom"/>
            <w:hideMark/>
          </w:tcPr>
          <w:p w14:paraId="49A591BA"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8489</w:t>
            </w:r>
          </w:p>
        </w:tc>
        <w:tc>
          <w:tcPr>
            <w:tcW w:w="1660" w:type="dxa"/>
            <w:tcBorders>
              <w:top w:val="nil"/>
              <w:left w:val="nil"/>
              <w:bottom w:val="single" w:sz="4" w:space="0" w:color="auto"/>
              <w:right w:val="single" w:sz="4" w:space="0" w:color="auto"/>
            </w:tcBorders>
            <w:shd w:val="clear" w:color="auto" w:fill="auto"/>
            <w:noWrap/>
            <w:vAlign w:val="bottom"/>
            <w:hideMark/>
          </w:tcPr>
          <w:p w14:paraId="6FD45AB8"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22146</w:t>
            </w:r>
          </w:p>
        </w:tc>
      </w:tr>
      <w:tr w:rsidR="00A14584" w:rsidRPr="00A14584" w14:paraId="0CD9BB37"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FFFFFF"/>
            <w:noWrap/>
            <w:vAlign w:val="bottom"/>
            <w:hideMark/>
          </w:tcPr>
          <w:p w14:paraId="35A2F386"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Cootamundra Gundagai</w:t>
            </w:r>
          </w:p>
        </w:tc>
        <w:tc>
          <w:tcPr>
            <w:tcW w:w="1660" w:type="dxa"/>
            <w:tcBorders>
              <w:top w:val="nil"/>
              <w:left w:val="nil"/>
              <w:bottom w:val="single" w:sz="4" w:space="0" w:color="auto"/>
              <w:right w:val="single" w:sz="4" w:space="0" w:color="auto"/>
            </w:tcBorders>
            <w:shd w:val="clear" w:color="000000" w:fill="FFFFFF"/>
            <w:noWrap/>
            <w:vAlign w:val="bottom"/>
            <w:hideMark/>
          </w:tcPr>
          <w:p w14:paraId="476523C3"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13016</w:t>
            </w:r>
          </w:p>
        </w:tc>
        <w:tc>
          <w:tcPr>
            <w:tcW w:w="1660" w:type="dxa"/>
            <w:tcBorders>
              <w:top w:val="nil"/>
              <w:left w:val="nil"/>
              <w:bottom w:val="single" w:sz="4" w:space="0" w:color="auto"/>
              <w:right w:val="single" w:sz="4" w:space="0" w:color="auto"/>
            </w:tcBorders>
            <w:shd w:val="clear" w:color="000000" w:fill="FFFFFF"/>
            <w:noWrap/>
            <w:vAlign w:val="bottom"/>
            <w:hideMark/>
          </w:tcPr>
          <w:p w14:paraId="0E19BFA4"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27392</w:t>
            </w:r>
          </w:p>
        </w:tc>
      </w:tr>
      <w:tr w:rsidR="00A14584" w:rsidRPr="00A14584" w14:paraId="38146DA1"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7EFEF25"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Cowra</w:t>
            </w:r>
          </w:p>
        </w:tc>
        <w:tc>
          <w:tcPr>
            <w:tcW w:w="1660" w:type="dxa"/>
            <w:tcBorders>
              <w:top w:val="nil"/>
              <w:left w:val="nil"/>
              <w:bottom w:val="single" w:sz="4" w:space="0" w:color="auto"/>
              <w:right w:val="single" w:sz="4" w:space="0" w:color="auto"/>
            </w:tcBorders>
            <w:shd w:val="clear" w:color="auto" w:fill="auto"/>
            <w:noWrap/>
            <w:vAlign w:val="bottom"/>
            <w:hideMark/>
          </w:tcPr>
          <w:p w14:paraId="6AB620D3"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11787</w:t>
            </w:r>
          </w:p>
        </w:tc>
        <w:tc>
          <w:tcPr>
            <w:tcW w:w="1660" w:type="dxa"/>
            <w:tcBorders>
              <w:top w:val="nil"/>
              <w:left w:val="nil"/>
              <w:bottom w:val="single" w:sz="4" w:space="0" w:color="auto"/>
              <w:right w:val="single" w:sz="4" w:space="0" w:color="auto"/>
            </w:tcBorders>
            <w:shd w:val="clear" w:color="auto" w:fill="auto"/>
            <w:noWrap/>
            <w:vAlign w:val="bottom"/>
            <w:hideMark/>
          </w:tcPr>
          <w:p w14:paraId="68163C4E"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19970</w:t>
            </w:r>
          </w:p>
        </w:tc>
      </w:tr>
      <w:tr w:rsidR="00A14584" w:rsidRPr="00A14584" w14:paraId="46622DEF"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2BE858B"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Federation</w:t>
            </w:r>
          </w:p>
        </w:tc>
        <w:tc>
          <w:tcPr>
            <w:tcW w:w="1660" w:type="dxa"/>
            <w:tcBorders>
              <w:top w:val="nil"/>
              <w:left w:val="nil"/>
              <w:bottom w:val="single" w:sz="4" w:space="0" w:color="auto"/>
              <w:right w:val="single" w:sz="4" w:space="0" w:color="auto"/>
            </w:tcBorders>
            <w:shd w:val="clear" w:color="auto" w:fill="auto"/>
            <w:noWrap/>
            <w:vAlign w:val="bottom"/>
            <w:hideMark/>
          </w:tcPr>
          <w:p w14:paraId="6215E6FB"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14048</w:t>
            </w:r>
          </w:p>
        </w:tc>
        <w:tc>
          <w:tcPr>
            <w:tcW w:w="1660" w:type="dxa"/>
            <w:tcBorders>
              <w:top w:val="nil"/>
              <w:left w:val="nil"/>
              <w:bottom w:val="single" w:sz="4" w:space="0" w:color="auto"/>
              <w:right w:val="single" w:sz="4" w:space="0" w:color="auto"/>
            </w:tcBorders>
            <w:shd w:val="clear" w:color="auto" w:fill="auto"/>
            <w:noWrap/>
            <w:vAlign w:val="bottom"/>
            <w:hideMark/>
          </w:tcPr>
          <w:p w14:paraId="7D4B21F2"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23164</w:t>
            </w:r>
          </w:p>
        </w:tc>
      </w:tr>
      <w:tr w:rsidR="00A14584" w:rsidRPr="00A14584" w14:paraId="03F37BEF"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F890EC1"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Greater Hume</w:t>
            </w:r>
          </w:p>
        </w:tc>
        <w:tc>
          <w:tcPr>
            <w:tcW w:w="1660" w:type="dxa"/>
            <w:tcBorders>
              <w:top w:val="nil"/>
              <w:left w:val="nil"/>
              <w:bottom w:val="single" w:sz="4" w:space="0" w:color="auto"/>
              <w:right w:val="single" w:sz="4" w:space="0" w:color="auto"/>
            </w:tcBorders>
            <w:shd w:val="clear" w:color="auto" w:fill="auto"/>
            <w:noWrap/>
            <w:vAlign w:val="bottom"/>
            <w:hideMark/>
          </w:tcPr>
          <w:p w14:paraId="0807CF4B"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11277</w:t>
            </w:r>
          </w:p>
        </w:tc>
        <w:tc>
          <w:tcPr>
            <w:tcW w:w="1660" w:type="dxa"/>
            <w:tcBorders>
              <w:top w:val="nil"/>
              <w:left w:val="nil"/>
              <w:bottom w:val="single" w:sz="4" w:space="0" w:color="auto"/>
              <w:right w:val="single" w:sz="4" w:space="0" w:color="auto"/>
            </w:tcBorders>
            <w:shd w:val="clear" w:color="auto" w:fill="auto"/>
            <w:noWrap/>
            <w:vAlign w:val="bottom"/>
            <w:hideMark/>
          </w:tcPr>
          <w:p w14:paraId="2EA8272B"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27225</w:t>
            </w:r>
          </w:p>
        </w:tc>
      </w:tr>
      <w:tr w:rsidR="00A14584" w:rsidRPr="00A14584" w14:paraId="4C5EE8F8"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EE63519"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Gunnedah</w:t>
            </w:r>
          </w:p>
        </w:tc>
        <w:tc>
          <w:tcPr>
            <w:tcW w:w="1660" w:type="dxa"/>
            <w:tcBorders>
              <w:top w:val="nil"/>
              <w:left w:val="nil"/>
              <w:bottom w:val="single" w:sz="4" w:space="0" w:color="auto"/>
              <w:right w:val="single" w:sz="4" w:space="0" w:color="auto"/>
            </w:tcBorders>
            <w:shd w:val="clear" w:color="auto" w:fill="auto"/>
            <w:noWrap/>
            <w:vAlign w:val="bottom"/>
            <w:hideMark/>
          </w:tcPr>
          <w:p w14:paraId="508FDF8A"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7323</w:t>
            </w:r>
          </w:p>
        </w:tc>
        <w:tc>
          <w:tcPr>
            <w:tcW w:w="1660" w:type="dxa"/>
            <w:tcBorders>
              <w:top w:val="nil"/>
              <w:left w:val="nil"/>
              <w:bottom w:val="single" w:sz="4" w:space="0" w:color="auto"/>
              <w:right w:val="single" w:sz="4" w:space="0" w:color="auto"/>
            </w:tcBorders>
            <w:shd w:val="clear" w:color="auto" w:fill="auto"/>
            <w:noWrap/>
            <w:vAlign w:val="bottom"/>
            <w:hideMark/>
          </w:tcPr>
          <w:p w14:paraId="3A7F9AB5"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21314</w:t>
            </w:r>
          </w:p>
        </w:tc>
      </w:tr>
      <w:tr w:rsidR="00A14584" w:rsidRPr="00A14584" w14:paraId="41A51B9E"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01C5C6A"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Hilltops</w:t>
            </w:r>
          </w:p>
        </w:tc>
        <w:tc>
          <w:tcPr>
            <w:tcW w:w="1660" w:type="dxa"/>
            <w:tcBorders>
              <w:top w:val="nil"/>
              <w:left w:val="nil"/>
              <w:bottom w:val="single" w:sz="4" w:space="0" w:color="auto"/>
              <w:right w:val="single" w:sz="4" w:space="0" w:color="auto"/>
            </w:tcBorders>
            <w:shd w:val="clear" w:color="auto" w:fill="auto"/>
            <w:noWrap/>
            <w:vAlign w:val="bottom"/>
            <w:hideMark/>
          </w:tcPr>
          <w:p w14:paraId="0B12450C"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12295</w:t>
            </w:r>
          </w:p>
        </w:tc>
        <w:tc>
          <w:tcPr>
            <w:tcW w:w="1660" w:type="dxa"/>
            <w:tcBorders>
              <w:top w:val="nil"/>
              <w:left w:val="nil"/>
              <w:bottom w:val="single" w:sz="4" w:space="0" w:color="auto"/>
              <w:right w:val="single" w:sz="4" w:space="0" w:color="auto"/>
            </w:tcBorders>
            <w:shd w:val="clear" w:color="auto" w:fill="auto"/>
            <w:noWrap/>
            <w:vAlign w:val="bottom"/>
            <w:hideMark/>
          </w:tcPr>
          <w:p w14:paraId="56EF9E9F"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25667</w:t>
            </w:r>
          </w:p>
        </w:tc>
      </w:tr>
      <w:tr w:rsidR="00A14584" w:rsidRPr="00A14584" w14:paraId="187649FC"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6215EC7"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Inverell</w:t>
            </w:r>
          </w:p>
        </w:tc>
        <w:tc>
          <w:tcPr>
            <w:tcW w:w="1660" w:type="dxa"/>
            <w:tcBorders>
              <w:top w:val="nil"/>
              <w:left w:val="nil"/>
              <w:bottom w:val="single" w:sz="4" w:space="0" w:color="auto"/>
              <w:right w:val="single" w:sz="4" w:space="0" w:color="auto"/>
            </w:tcBorders>
            <w:shd w:val="clear" w:color="auto" w:fill="auto"/>
            <w:noWrap/>
            <w:vAlign w:val="bottom"/>
            <w:hideMark/>
          </w:tcPr>
          <w:p w14:paraId="793DE516"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8381</w:t>
            </w:r>
          </w:p>
        </w:tc>
        <w:tc>
          <w:tcPr>
            <w:tcW w:w="1660" w:type="dxa"/>
            <w:tcBorders>
              <w:top w:val="nil"/>
              <w:left w:val="nil"/>
              <w:bottom w:val="single" w:sz="4" w:space="0" w:color="auto"/>
              <w:right w:val="single" w:sz="4" w:space="0" w:color="auto"/>
            </w:tcBorders>
            <w:shd w:val="clear" w:color="auto" w:fill="auto"/>
            <w:noWrap/>
            <w:vAlign w:val="bottom"/>
            <w:hideMark/>
          </w:tcPr>
          <w:p w14:paraId="568A734E"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19897</w:t>
            </w:r>
          </w:p>
        </w:tc>
      </w:tr>
      <w:tr w:rsidR="00A14584" w:rsidRPr="00A14584" w14:paraId="2B64EC04"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D010970"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Leeton</w:t>
            </w:r>
          </w:p>
        </w:tc>
        <w:tc>
          <w:tcPr>
            <w:tcW w:w="1660" w:type="dxa"/>
            <w:tcBorders>
              <w:top w:val="nil"/>
              <w:left w:val="nil"/>
              <w:bottom w:val="single" w:sz="4" w:space="0" w:color="auto"/>
              <w:right w:val="single" w:sz="4" w:space="0" w:color="auto"/>
            </w:tcBorders>
            <w:shd w:val="clear" w:color="auto" w:fill="auto"/>
            <w:noWrap/>
            <w:vAlign w:val="bottom"/>
            <w:hideMark/>
          </w:tcPr>
          <w:p w14:paraId="7BD3CCB3"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8407</w:t>
            </w:r>
          </w:p>
        </w:tc>
        <w:tc>
          <w:tcPr>
            <w:tcW w:w="1660" w:type="dxa"/>
            <w:tcBorders>
              <w:top w:val="nil"/>
              <w:left w:val="nil"/>
              <w:bottom w:val="single" w:sz="4" w:space="0" w:color="auto"/>
              <w:right w:val="single" w:sz="4" w:space="0" w:color="auto"/>
            </w:tcBorders>
            <w:shd w:val="clear" w:color="auto" w:fill="auto"/>
            <w:noWrap/>
            <w:vAlign w:val="bottom"/>
            <w:hideMark/>
          </w:tcPr>
          <w:p w14:paraId="0760E604"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19584</w:t>
            </w:r>
          </w:p>
        </w:tc>
      </w:tr>
      <w:tr w:rsidR="00A14584" w:rsidRPr="00A14584" w14:paraId="2DC09D23"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9BF10A5"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Moree Plains</w:t>
            </w:r>
          </w:p>
        </w:tc>
        <w:tc>
          <w:tcPr>
            <w:tcW w:w="1660" w:type="dxa"/>
            <w:tcBorders>
              <w:top w:val="nil"/>
              <w:left w:val="nil"/>
              <w:bottom w:val="single" w:sz="4" w:space="0" w:color="auto"/>
              <w:right w:val="single" w:sz="4" w:space="0" w:color="auto"/>
            </w:tcBorders>
            <w:shd w:val="clear" w:color="auto" w:fill="auto"/>
            <w:noWrap/>
            <w:vAlign w:val="bottom"/>
            <w:hideMark/>
          </w:tcPr>
          <w:p w14:paraId="11EE76D1"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21971</w:t>
            </w:r>
          </w:p>
        </w:tc>
        <w:tc>
          <w:tcPr>
            <w:tcW w:w="1660" w:type="dxa"/>
            <w:tcBorders>
              <w:top w:val="nil"/>
              <w:left w:val="nil"/>
              <w:bottom w:val="single" w:sz="4" w:space="0" w:color="auto"/>
              <w:right w:val="single" w:sz="4" w:space="0" w:color="auto"/>
            </w:tcBorders>
            <w:shd w:val="clear" w:color="auto" w:fill="auto"/>
            <w:noWrap/>
            <w:vAlign w:val="bottom"/>
            <w:hideMark/>
          </w:tcPr>
          <w:p w14:paraId="0450E07C"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61681</w:t>
            </w:r>
          </w:p>
        </w:tc>
      </w:tr>
      <w:tr w:rsidR="00A14584" w:rsidRPr="00A14584" w14:paraId="72ABEE02"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1590202"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Murray River</w:t>
            </w:r>
          </w:p>
        </w:tc>
        <w:tc>
          <w:tcPr>
            <w:tcW w:w="1660" w:type="dxa"/>
            <w:tcBorders>
              <w:top w:val="nil"/>
              <w:left w:val="nil"/>
              <w:bottom w:val="single" w:sz="4" w:space="0" w:color="auto"/>
              <w:right w:val="single" w:sz="4" w:space="0" w:color="auto"/>
            </w:tcBorders>
            <w:shd w:val="clear" w:color="auto" w:fill="auto"/>
            <w:noWrap/>
            <w:vAlign w:val="bottom"/>
            <w:hideMark/>
          </w:tcPr>
          <w:p w14:paraId="5EAEECB4"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9925</w:t>
            </w:r>
          </w:p>
        </w:tc>
        <w:tc>
          <w:tcPr>
            <w:tcW w:w="1660" w:type="dxa"/>
            <w:tcBorders>
              <w:top w:val="nil"/>
              <w:left w:val="nil"/>
              <w:bottom w:val="single" w:sz="4" w:space="0" w:color="auto"/>
              <w:right w:val="single" w:sz="4" w:space="0" w:color="auto"/>
            </w:tcBorders>
            <w:shd w:val="clear" w:color="auto" w:fill="auto"/>
            <w:noWrap/>
            <w:vAlign w:val="bottom"/>
            <w:hideMark/>
          </w:tcPr>
          <w:p w14:paraId="77BB9765"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21500</w:t>
            </w:r>
          </w:p>
        </w:tc>
      </w:tr>
      <w:tr w:rsidR="00A14584" w:rsidRPr="00A14584" w14:paraId="0D6619AD"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8D6A75B"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Muswellbrook</w:t>
            </w:r>
          </w:p>
        </w:tc>
        <w:tc>
          <w:tcPr>
            <w:tcW w:w="1660" w:type="dxa"/>
            <w:tcBorders>
              <w:top w:val="nil"/>
              <w:left w:val="nil"/>
              <w:bottom w:val="single" w:sz="4" w:space="0" w:color="auto"/>
              <w:right w:val="single" w:sz="4" w:space="0" w:color="auto"/>
            </w:tcBorders>
            <w:shd w:val="clear" w:color="auto" w:fill="auto"/>
            <w:noWrap/>
            <w:vAlign w:val="bottom"/>
            <w:hideMark/>
          </w:tcPr>
          <w:p w14:paraId="6DDF25CC"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3338</w:t>
            </w:r>
          </w:p>
        </w:tc>
        <w:tc>
          <w:tcPr>
            <w:tcW w:w="1660" w:type="dxa"/>
            <w:tcBorders>
              <w:top w:val="nil"/>
              <w:left w:val="nil"/>
              <w:bottom w:val="single" w:sz="4" w:space="0" w:color="auto"/>
              <w:right w:val="single" w:sz="4" w:space="0" w:color="auto"/>
            </w:tcBorders>
            <w:shd w:val="clear" w:color="auto" w:fill="auto"/>
            <w:noWrap/>
            <w:vAlign w:val="bottom"/>
            <w:hideMark/>
          </w:tcPr>
          <w:p w14:paraId="24B9F7DA"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8064</w:t>
            </w:r>
          </w:p>
        </w:tc>
      </w:tr>
      <w:tr w:rsidR="00A14584" w:rsidRPr="00A14584" w14:paraId="5083781E"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0F3AD29"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Nambucca</w:t>
            </w:r>
          </w:p>
        </w:tc>
        <w:tc>
          <w:tcPr>
            <w:tcW w:w="1660" w:type="dxa"/>
            <w:tcBorders>
              <w:top w:val="nil"/>
              <w:left w:val="nil"/>
              <w:bottom w:val="single" w:sz="4" w:space="0" w:color="auto"/>
              <w:right w:val="single" w:sz="4" w:space="0" w:color="auto"/>
            </w:tcBorders>
            <w:shd w:val="clear" w:color="auto" w:fill="auto"/>
            <w:noWrap/>
            <w:vAlign w:val="bottom"/>
            <w:hideMark/>
          </w:tcPr>
          <w:p w14:paraId="3F46B0EC"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7957</w:t>
            </w:r>
          </w:p>
        </w:tc>
        <w:tc>
          <w:tcPr>
            <w:tcW w:w="1660" w:type="dxa"/>
            <w:tcBorders>
              <w:top w:val="nil"/>
              <w:left w:val="nil"/>
              <w:bottom w:val="single" w:sz="4" w:space="0" w:color="auto"/>
              <w:right w:val="single" w:sz="4" w:space="0" w:color="auto"/>
            </w:tcBorders>
            <w:shd w:val="clear" w:color="auto" w:fill="auto"/>
            <w:noWrap/>
            <w:vAlign w:val="bottom"/>
            <w:hideMark/>
          </w:tcPr>
          <w:p w14:paraId="15FE1BF6"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15969</w:t>
            </w:r>
          </w:p>
        </w:tc>
      </w:tr>
      <w:tr w:rsidR="00A14584" w:rsidRPr="00A14584" w14:paraId="41B60999"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EA4093D"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Narrabri</w:t>
            </w:r>
          </w:p>
        </w:tc>
        <w:tc>
          <w:tcPr>
            <w:tcW w:w="1660" w:type="dxa"/>
            <w:tcBorders>
              <w:top w:val="nil"/>
              <w:left w:val="nil"/>
              <w:bottom w:val="single" w:sz="4" w:space="0" w:color="auto"/>
              <w:right w:val="single" w:sz="4" w:space="0" w:color="auto"/>
            </w:tcBorders>
            <w:shd w:val="clear" w:color="auto" w:fill="auto"/>
            <w:noWrap/>
            <w:vAlign w:val="bottom"/>
            <w:hideMark/>
          </w:tcPr>
          <w:p w14:paraId="56034A0B"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9721</w:t>
            </w:r>
          </w:p>
        </w:tc>
        <w:tc>
          <w:tcPr>
            <w:tcW w:w="1660" w:type="dxa"/>
            <w:tcBorders>
              <w:top w:val="nil"/>
              <w:left w:val="nil"/>
              <w:bottom w:val="single" w:sz="4" w:space="0" w:color="auto"/>
              <w:right w:val="single" w:sz="4" w:space="0" w:color="auto"/>
            </w:tcBorders>
            <w:shd w:val="clear" w:color="auto" w:fill="auto"/>
            <w:noWrap/>
            <w:vAlign w:val="bottom"/>
            <w:hideMark/>
          </w:tcPr>
          <w:p w14:paraId="573C5C84"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23853</w:t>
            </w:r>
          </w:p>
        </w:tc>
      </w:tr>
      <w:tr w:rsidR="00A14584" w:rsidRPr="00A14584" w14:paraId="393601B6"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F9AFDA8"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Parkes</w:t>
            </w:r>
          </w:p>
        </w:tc>
        <w:tc>
          <w:tcPr>
            <w:tcW w:w="1660" w:type="dxa"/>
            <w:tcBorders>
              <w:top w:val="nil"/>
              <w:left w:val="nil"/>
              <w:bottom w:val="single" w:sz="4" w:space="0" w:color="auto"/>
              <w:right w:val="single" w:sz="4" w:space="0" w:color="auto"/>
            </w:tcBorders>
            <w:shd w:val="clear" w:color="auto" w:fill="auto"/>
            <w:noWrap/>
            <w:vAlign w:val="bottom"/>
            <w:hideMark/>
          </w:tcPr>
          <w:p w14:paraId="78021661"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10651</w:t>
            </w:r>
          </w:p>
        </w:tc>
        <w:tc>
          <w:tcPr>
            <w:tcW w:w="1660" w:type="dxa"/>
            <w:tcBorders>
              <w:top w:val="nil"/>
              <w:left w:val="nil"/>
              <w:bottom w:val="single" w:sz="4" w:space="0" w:color="auto"/>
              <w:right w:val="single" w:sz="4" w:space="0" w:color="auto"/>
            </w:tcBorders>
            <w:shd w:val="clear" w:color="auto" w:fill="auto"/>
            <w:noWrap/>
            <w:vAlign w:val="bottom"/>
            <w:hideMark/>
          </w:tcPr>
          <w:p w14:paraId="03218D4A"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21586</w:t>
            </w:r>
          </w:p>
        </w:tc>
      </w:tr>
      <w:tr w:rsidR="00A14584" w:rsidRPr="00A14584" w14:paraId="76E58B32"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7EC74F0"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Snowy Valleys</w:t>
            </w:r>
          </w:p>
        </w:tc>
        <w:tc>
          <w:tcPr>
            <w:tcW w:w="1660" w:type="dxa"/>
            <w:tcBorders>
              <w:top w:val="nil"/>
              <w:left w:val="nil"/>
              <w:bottom w:val="single" w:sz="4" w:space="0" w:color="auto"/>
              <w:right w:val="single" w:sz="4" w:space="0" w:color="auto"/>
            </w:tcBorders>
            <w:shd w:val="clear" w:color="auto" w:fill="auto"/>
            <w:noWrap/>
            <w:vAlign w:val="bottom"/>
            <w:hideMark/>
          </w:tcPr>
          <w:p w14:paraId="754F1983"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12371</w:t>
            </w:r>
          </w:p>
        </w:tc>
        <w:tc>
          <w:tcPr>
            <w:tcW w:w="1660" w:type="dxa"/>
            <w:tcBorders>
              <w:top w:val="nil"/>
              <w:left w:val="nil"/>
              <w:bottom w:val="single" w:sz="4" w:space="0" w:color="auto"/>
              <w:right w:val="single" w:sz="4" w:space="0" w:color="auto"/>
            </w:tcBorders>
            <w:shd w:val="clear" w:color="auto" w:fill="auto"/>
            <w:noWrap/>
            <w:vAlign w:val="bottom"/>
            <w:hideMark/>
          </w:tcPr>
          <w:p w14:paraId="7692C03B"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23270</w:t>
            </w:r>
          </w:p>
        </w:tc>
      </w:tr>
      <w:tr w:rsidR="00A14584" w:rsidRPr="00A14584" w14:paraId="44EEC29D"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F19EF6E"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Upper Hunter</w:t>
            </w:r>
          </w:p>
        </w:tc>
        <w:tc>
          <w:tcPr>
            <w:tcW w:w="1660" w:type="dxa"/>
            <w:tcBorders>
              <w:top w:val="nil"/>
              <w:left w:val="nil"/>
              <w:bottom w:val="single" w:sz="4" w:space="0" w:color="auto"/>
              <w:right w:val="single" w:sz="4" w:space="0" w:color="auto"/>
            </w:tcBorders>
            <w:shd w:val="clear" w:color="auto" w:fill="auto"/>
            <w:noWrap/>
            <w:vAlign w:val="bottom"/>
            <w:hideMark/>
          </w:tcPr>
          <w:p w14:paraId="010328F4"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2904</w:t>
            </w:r>
          </w:p>
        </w:tc>
        <w:tc>
          <w:tcPr>
            <w:tcW w:w="1660" w:type="dxa"/>
            <w:tcBorders>
              <w:top w:val="nil"/>
              <w:left w:val="nil"/>
              <w:bottom w:val="single" w:sz="4" w:space="0" w:color="auto"/>
              <w:right w:val="single" w:sz="4" w:space="0" w:color="auto"/>
            </w:tcBorders>
            <w:shd w:val="clear" w:color="auto" w:fill="auto"/>
            <w:noWrap/>
            <w:vAlign w:val="bottom"/>
            <w:hideMark/>
          </w:tcPr>
          <w:p w14:paraId="7146D1E2"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11855</w:t>
            </w:r>
          </w:p>
        </w:tc>
      </w:tr>
      <w:tr w:rsidR="00A14584" w:rsidRPr="00A14584" w14:paraId="5A27A401" w14:textId="77777777" w:rsidTr="00A14584">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6ACDBA0"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Yass Valley</w:t>
            </w:r>
          </w:p>
        </w:tc>
        <w:tc>
          <w:tcPr>
            <w:tcW w:w="1660" w:type="dxa"/>
            <w:tcBorders>
              <w:top w:val="nil"/>
              <w:left w:val="nil"/>
              <w:bottom w:val="single" w:sz="4" w:space="0" w:color="auto"/>
              <w:right w:val="single" w:sz="4" w:space="0" w:color="auto"/>
            </w:tcBorders>
            <w:shd w:val="clear" w:color="auto" w:fill="auto"/>
            <w:noWrap/>
            <w:vAlign w:val="bottom"/>
            <w:hideMark/>
          </w:tcPr>
          <w:p w14:paraId="007253C2"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5028</w:t>
            </w:r>
          </w:p>
        </w:tc>
        <w:tc>
          <w:tcPr>
            <w:tcW w:w="1660" w:type="dxa"/>
            <w:tcBorders>
              <w:top w:val="nil"/>
              <w:left w:val="nil"/>
              <w:bottom w:val="single" w:sz="4" w:space="0" w:color="auto"/>
              <w:right w:val="single" w:sz="4" w:space="0" w:color="auto"/>
            </w:tcBorders>
            <w:shd w:val="clear" w:color="auto" w:fill="auto"/>
            <w:noWrap/>
            <w:vAlign w:val="bottom"/>
            <w:hideMark/>
          </w:tcPr>
          <w:p w14:paraId="3D03E9A8"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15699</w:t>
            </w:r>
          </w:p>
        </w:tc>
      </w:tr>
      <w:tr w:rsidR="00A14584" w:rsidRPr="00A14584" w14:paraId="44E1F209"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3DCB94BA"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Average</w:t>
            </w:r>
          </w:p>
        </w:tc>
        <w:tc>
          <w:tcPr>
            <w:tcW w:w="1660" w:type="dxa"/>
            <w:tcBorders>
              <w:top w:val="nil"/>
              <w:left w:val="nil"/>
              <w:bottom w:val="single" w:sz="4" w:space="0" w:color="auto"/>
              <w:right w:val="single" w:sz="4" w:space="0" w:color="auto"/>
            </w:tcBorders>
            <w:shd w:val="clear" w:color="000000" w:fill="FFFFCC"/>
            <w:noWrap/>
            <w:vAlign w:val="bottom"/>
            <w:hideMark/>
          </w:tcPr>
          <w:p w14:paraId="46157FA8"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9858</w:t>
            </w:r>
          </w:p>
        </w:tc>
        <w:tc>
          <w:tcPr>
            <w:tcW w:w="1660" w:type="dxa"/>
            <w:tcBorders>
              <w:top w:val="nil"/>
              <w:left w:val="nil"/>
              <w:bottom w:val="single" w:sz="4" w:space="0" w:color="auto"/>
              <w:right w:val="single" w:sz="4" w:space="0" w:color="auto"/>
            </w:tcBorders>
            <w:shd w:val="clear" w:color="000000" w:fill="FFFFCC"/>
            <w:noWrap/>
            <w:vAlign w:val="bottom"/>
            <w:hideMark/>
          </w:tcPr>
          <w:p w14:paraId="41CF32F0"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22457</w:t>
            </w:r>
          </w:p>
        </w:tc>
      </w:tr>
      <w:tr w:rsidR="00A14584" w:rsidRPr="00A14584" w14:paraId="39CD1C22"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2B0F1CBC"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Standard Deviation</w:t>
            </w:r>
          </w:p>
        </w:tc>
        <w:tc>
          <w:tcPr>
            <w:tcW w:w="1660" w:type="dxa"/>
            <w:tcBorders>
              <w:top w:val="nil"/>
              <w:left w:val="nil"/>
              <w:bottom w:val="single" w:sz="4" w:space="0" w:color="auto"/>
              <w:right w:val="single" w:sz="4" w:space="0" w:color="auto"/>
            </w:tcBorders>
            <w:shd w:val="clear" w:color="000000" w:fill="FFFFCC"/>
            <w:noWrap/>
            <w:vAlign w:val="bottom"/>
            <w:hideMark/>
          </w:tcPr>
          <w:p w14:paraId="7DCE2D7D"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4138</w:t>
            </w:r>
          </w:p>
        </w:tc>
        <w:tc>
          <w:tcPr>
            <w:tcW w:w="1660" w:type="dxa"/>
            <w:tcBorders>
              <w:top w:val="nil"/>
              <w:left w:val="nil"/>
              <w:bottom w:val="single" w:sz="4" w:space="0" w:color="auto"/>
              <w:right w:val="single" w:sz="4" w:space="0" w:color="auto"/>
            </w:tcBorders>
            <w:shd w:val="clear" w:color="000000" w:fill="FFFFCC"/>
            <w:noWrap/>
            <w:vAlign w:val="bottom"/>
            <w:hideMark/>
          </w:tcPr>
          <w:p w14:paraId="69B40267"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10417</w:t>
            </w:r>
          </w:p>
        </w:tc>
      </w:tr>
      <w:tr w:rsidR="00A14584" w:rsidRPr="00A14584" w14:paraId="1EDAD417"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0CBD21B7"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Median</w:t>
            </w:r>
          </w:p>
        </w:tc>
        <w:tc>
          <w:tcPr>
            <w:tcW w:w="1660" w:type="dxa"/>
            <w:tcBorders>
              <w:top w:val="nil"/>
              <w:left w:val="nil"/>
              <w:bottom w:val="single" w:sz="4" w:space="0" w:color="auto"/>
              <w:right w:val="single" w:sz="4" w:space="0" w:color="auto"/>
            </w:tcBorders>
            <w:shd w:val="clear" w:color="000000" w:fill="FFFFCC"/>
            <w:noWrap/>
            <w:vAlign w:val="bottom"/>
            <w:hideMark/>
          </w:tcPr>
          <w:p w14:paraId="4EC32965"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9721</w:t>
            </w:r>
          </w:p>
        </w:tc>
        <w:tc>
          <w:tcPr>
            <w:tcW w:w="1660" w:type="dxa"/>
            <w:tcBorders>
              <w:top w:val="nil"/>
              <w:left w:val="nil"/>
              <w:bottom w:val="single" w:sz="4" w:space="0" w:color="auto"/>
              <w:right w:val="single" w:sz="4" w:space="0" w:color="auto"/>
            </w:tcBorders>
            <w:shd w:val="clear" w:color="000000" w:fill="FFFFCC"/>
            <w:noWrap/>
            <w:vAlign w:val="bottom"/>
            <w:hideMark/>
          </w:tcPr>
          <w:p w14:paraId="3017DF35"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21500</w:t>
            </w:r>
          </w:p>
        </w:tc>
      </w:tr>
      <w:tr w:rsidR="00A14584" w:rsidRPr="00A14584" w14:paraId="7B2585CF"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4C07360B"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Quartile 1</w:t>
            </w:r>
          </w:p>
        </w:tc>
        <w:tc>
          <w:tcPr>
            <w:tcW w:w="1660" w:type="dxa"/>
            <w:tcBorders>
              <w:top w:val="nil"/>
              <w:left w:val="nil"/>
              <w:bottom w:val="single" w:sz="4" w:space="0" w:color="auto"/>
              <w:right w:val="single" w:sz="4" w:space="0" w:color="auto"/>
            </w:tcBorders>
            <w:shd w:val="clear" w:color="000000" w:fill="FFFFCC"/>
            <w:noWrap/>
            <w:vAlign w:val="bottom"/>
            <w:hideMark/>
          </w:tcPr>
          <w:p w14:paraId="4BB12CF8"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8169</w:t>
            </w:r>
          </w:p>
        </w:tc>
        <w:tc>
          <w:tcPr>
            <w:tcW w:w="1660" w:type="dxa"/>
            <w:tcBorders>
              <w:top w:val="nil"/>
              <w:left w:val="nil"/>
              <w:bottom w:val="single" w:sz="4" w:space="0" w:color="auto"/>
              <w:right w:val="single" w:sz="4" w:space="0" w:color="auto"/>
            </w:tcBorders>
            <w:shd w:val="clear" w:color="000000" w:fill="FFFFCC"/>
            <w:noWrap/>
            <w:vAlign w:val="bottom"/>
            <w:hideMark/>
          </w:tcPr>
          <w:p w14:paraId="6717124A"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18214</w:t>
            </w:r>
          </w:p>
        </w:tc>
      </w:tr>
      <w:tr w:rsidR="00A14584" w:rsidRPr="00A14584" w14:paraId="7B77451F"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698B49BD"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Quartile 3</w:t>
            </w:r>
          </w:p>
        </w:tc>
        <w:tc>
          <w:tcPr>
            <w:tcW w:w="1660" w:type="dxa"/>
            <w:tcBorders>
              <w:top w:val="nil"/>
              <w:left w:val="nil"/>
              <w:bottom w:val="single" w:sz="4" w:space="0" w:color="auto"/>
              <w:right w:val="single" w:sz="4" w:space="0" w:color="auto"/>
            </w:tcBorders>
            <w:shd w:val="clear" w:color="000000" w:fill="FFFFCC"/>
            <w:noWrap/>
            <w:vAlign w:val="bottom"/>
            <w:hideMark/>
          </w:tcPr>
          <w:p w14:paraId="1F98B519"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12041</w:t>
            </w:r>
          </w:p>
        </w:tc>
        <w:tc>
          <w:tcPr>
            <w:tcW w:w="1660" w:type="dxa"/>
            <w:tcBorders>
              <w:top w:val="nil"/>
              <w:left w:val="nil"/>
              <w:bottom w:val="single" w:sz="4" w:space="0" w:color="auto"/>
              <w:right w:val="single" w:sz="4" w:space="0" w:color="auto"/>
            </w:tcBorders>
            <w:shd w:val="clear" w:color="000000" w:fill="FFFFCC"/>
            <w:noWrap/>
            <w:vAlign w:val="bottom"/>
            <w:hideMark/>
          </w:tcPr>
          <w:p w14:paraId="406846F7"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23562</w:t>
            </w:r>
          </w:p>
        </w:tc>
      </w:tr>
      <w:tr w:rsidR="00A14584" w:rsidRPr="00A14584" w14:paraId="1D586529"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FFFFCC"/>
            <w:noWrap/>
            <w:vAlign w:val="bottom"/>
            <w:hideMark/>
          </w:tcPr>
          <w:p w14:paraId="29A3BCD6"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Interquartile Range</w:t>
            </w:r>
          </w:p>
        </w:tc>
        <w:tc>
          <w:tcPr>
            <w:tcW w:w="1660" w:type="dxa"/>
            <w:tcBorders>
              <w:top w:val="nil"/>
              <w:left w:val="nil"/>
              <w:bottom w:val="single" w:sz="4" w:space="0" w:color="auto"/>
              <w:right w:val="single" w:sz="4" w:space="0" w:color="auto"/>
            </w:tcBorders>
            <w:shd w:val="clear" w:color="000000" w:fill="FFFFCC"/>
            <w:noWrap/>
            <w:vAlign w:val="bottom"/>
            <w:hideMark/>
          </w:tcPr>
          <w:p w14:paraId="099019EA"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3872</w:t>
            </w:r>
          </w:p>
        </w:tc>
        <w:tc>
          <w:tcPr>
            <w:tcW w:w="1660" w:type="dxa"/>
            <w:tcBorders>
              <w:top w:val="nil"/>
              <w:left w:val="nil"/>
              <w:bottom w:val="single" w:sz="4" w:space="0" w:color="auto"/>
              <w:right w:val="single" w:sz="4" w:space="0" w:color="auto"/>
            </w:tcBorders>
            <w:shd w:val="clear" w:color="000000" w:fill="FFFFCC"/>
            <w:noWrap/>
            <w:vAlign w:val="bottom"/>
            <w:hideMark/>
          </w:tcPr>
          <w:p w14:paraId="783ED403"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5348</w:t>
            </w:r>
          </w:p>
        </w:tc>
      </w:tr>
      <w:tr w:rsidR="00A14584" w:rsidRPr="00A14584" w14:paraId="03AD98D7" w14:textId="77777777" w:rsidTr="00A14584">
        <w:trPr>
          <w:trHeight w:val="300"/>
        </w:trPr>
        <w:tc>
          <w:tcPr>
            <w:tcW w:w="3180" w:type="dxa"/>
            <w:tcBorders>
              <w:top w:val="nil"/>
              <w:left w:val="single" w:sz="4" w:space="0" w:color="auto"/>
              <w:bottom w:val="single" w:sz="4" w:space="0" w:color="auto"/>
              <w:right w:val="single" w:sz="4" w:space="0" w:color="auto"/>
            </w:tcBorders>
            <w:shd w:val="clear" w:color="000000" w:fill="CCFFCC"/>
            <w:noWrap/>
            <w:vAlign w:val="bottom"/>
            <w:hideMark/>
          </w:tcPr>
          <w:p w14:paraId="632DA94A" w14:textId="77777777" w:rsidR="00A14584" w:rsidRPr="00A14584" w:rsidRDefault="00A14584" w:rsidP="00A14584">
            <w:pPr>
              <w:spacing w:after="0" w:line="240" w:lineRule="auto"/>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Cootamundra Gundagai</w:t>
            </w:r>
          </w:p>
        </w:tc>
        <w:tc>
          <w:tcPr>
            <w:tcW w:w="1660" w:type="dxa"/>
            <w:tcBorders>
              <w:top w:val="nil"/>
              <w:left w:val="nil"/>
              <w:bottom w:val="single" w:sz="4" w:space="0" w:color="auto"/>
              <w:right w:val="single" w:sz="4" w:space="0" w:color="auto"/>
            </w:tcBorders>
            <w:shd w:val="clear" w:color="000000" w:fill="CCFFCC"/>
            <w:noWrap/>
            <w:vAlign w:val="bottom"/>
            <w:hideMark/>
          </w:tcPr>
          <w:p w14:paraId="69C45C17"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13016</w:t>
            </w:r>
          </w:p>
        </w:tc>
        <w:tc>
          <w:tcPr>
            <w:tcW w:w="1660" w:type="dxa"/>
            <w:tcBorders>
              <w:top w:val="nil"/>
              <w:left w:val="nil"/>
              <w:bottom w:val="single" w:sz="4" w:space="0" w:color="auto"/>
              <w:right w:val="single" w:sz="4" w:space="0" w:color="auto"/>
            </w:tcBorders>
            <w:shd w:val="clear" w:color="000000" w:fill="CCFFCC"/>
            <w:noWrap/>
            <w:vAlign w:val="bottom"/>
            <w:hideMark/>
          </w:tcPr>
          <w:p w14:paraId="2D0DC0E3" w14:textId="77777777" w:rsidR="00A14584" w:rsidRPr="00A14584" w:rsidRDefault="00A14584" w:rsidP="00A14584">
            <w:pPr>
              <w:spacing w:after="0" w:line="240" w:lineRule="auto"/>
              <w:jc w:val="right"/>
              <w:rPr>
                <w:rFonts w:ascii="Calibri" w:eastAsia="Times New Roman" w:hAnsi="Calibri" w:cs="Calibri"/>
                <w:color w:val="000000"/>
                <w:sz w:val="22"/>
                <w:lang w:eastAsia="en-AU"/>
              </w:rPr>
            </w:pPr>
            <w:r w:rsidRPr="00A14584">
              <w:rPr>
                <w:rFonts w:ascii="Calibri" w:eastAsia="Times New Roman" w:hAnsi="Calibri" w:cs="Calibri"/>
                <w:color w:val="000000"/>
                <w:sz w:val="22"/>
                <w:lang w:eastAsia="en-AU"/>
              </w:rPr>
              <w:t>27392</w:t>
            </w:r>
          </w:p>
        </w:tc>
      </w:tr>
    </w:tbl>
    <w:p w14:paraId="5CB1C420" w14:textId="1AAD634A" w:rsidR="00D65C5B" w:rsidRDefault="00D65C5B"/>
    <w:p w14:paraId="08C6D78B" w14:textId="4E82C38E" w:rsidR="00A14584" w:rsidRPr="006C31A7" w:rsidRDefault="00A14584" w:rsidP="002A6F6D">
      <w:pPr>
        <w:spacing w:line="360" w:lineRule="auto"/>
      </w:pPr>
      <w:r>
        <w:lastRenderedPageBreak/>
        <w:t>In Figure 17 I chart this data which makes it clear that Cootamundra-Gundagai unincorporated business</w:t>
      </w:r>
      <w:r w:rsidR="00BA34D7">
        <w:t xml:space="preserve"> income lies</w:t>
      </w:r>
      <w:r>
        <w:t xml:space="preserve"> in the top quartile of the OLG11 peer group. This suggests far higher capacity to pay by farm and non-farm business owners, ceteris paribus. Unfortunately the ABS does not </w:t>
      </w:r>
      <w:r w:rsidR="005D2C65">
        <w:t>provide data on in</w:t>
      </w:r>
      <w:r w:rsidR="00D86326">
        <w:t>corporate</w:t>
      </w:r>
      <w:r w:rsidR="005D2C65">
        <w:t>d</w:t>
      </w:r>
      <w:r w:rsidR="00D86326">
        <w:t xml:space="preserve"> business incomes. Nor does it separate unincorporated business incomes into activities</w:t>
      </w:r>
      <w:r w:rsidR="00BA34D7">
        <w:t xml:space="preserve"> (such as agricultural and non-agricultural income)</w:t>
      </w:r>
      <w:r w:rsidR="00D86326">
        <w:t xml:space="preserve">. However, given the prominence of agriculture in the region it is not unreasonable to assume that much of the income is </w:t>
      </w:r>
      <w:r w:rsidR="00BA34D7">
        <w:t xml:space="preserve">indeed </w:t>
      </w:r>
      <w:r w:rsidR="00D86326">
        <w:t>deriv</w:t>
      </w:r>
      <w:r w:rsidR="00BA34D7">
        <w:t>ed from agrarian pursuits.</w:t>
      </w:r>
    </w:p>
    <w:p w14:paraId="5E33C2BA" w14:textId="620D4FCD" w:rsidR="009C7E45" w:rsidRPr="009C7E45" w:rsidRDefault="00F900FC" w:rsidP="009C7E45">
      <w:pPr>
        <w:spacing w:line="254" w:lineRule="auto"/>
        <w:rPr>
          <w:rFonts w:eastAsia="Calibri" w:cs="Times New Roman"/>
          <w:b/>
        </w:rPr>
      </w:pPr>
      <w:r>
        <w:rPr>
          <w:rFonts w:eastAsia="Calibri" w:cs="Times New Roman"/>
          <w:b/>
        </w:rPr>
        <w:t>Figure 17</w:t>
      </w:r>
      <w:r w:rsidR="009C7E45" w:rsidRPr="009C7E45">
        <w:rPr>
          <w:rFonts w:eastAsia="Calibri" w:cs="Times New Roman"/>
          <w:b/>
        </w:rPr>
        <w:t>. Median Unincorporated Business Income</w:t>
      </w:r>
    </w:p>
    <w:p w14:paraId="02C25488" w14:textId="77777777" w:rsidR="009C7E45" w:rsidRPr="009C7E45" w:rsidRDefault="009C7E45" w:rsidP="009C7E45">
      <w:pPr>
        <w:spacing w:line="254" w:lineRule="auto"/>
        <w:rPr>
          <w:rFonts w:eastAsia="Calibri" w:cs="Times New Roman"/>
          <w:b/>
        </w:rPr>
      </w:pPr>
      <w:r w:rsidRPr="009C7E45">
        <w:rPr>
          <w:rFonts w:eastAsia="Calibri" w:cs="Times New Roman"/>
          <w:noProof/>
          <w:lang w:eastAsia="en-AU"/>
        </w:rPr>
        <mc:AlternateContent>
          <mc:Choice Requires="cx1">
            <w:drawing>
              <wp:inline distT="0" distB="0" distL="0" distR="0" wp14:anchorId="74319BA7" wp14:editId="20BD41B9">
                <wp:extent cx="4309607" cy="2671639"/>
                <wp:effectExtent l="0" t="0" r="15240" b="14605"/>
                <wp:docPr id="35" name="Chart 35">
                  <a:extLst xmlns:a="http://schemas.openxmlformats.org/drawingml/2006/main">
                    <a:ext uri="{FF2B5EF4-FFF2-40B4-BE49-F238E27FC236}">
                      <a16:creationId xmlns:a16="http://schemas.microsoft.com/office/drawing/2014/main" id="{96D19D99-B8E3-4E2A-942E-DC0043EB6DF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5"/>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4319BA7" wp14:editId="20BD41B9">
                <wp:extent cx="4309607" cy="2671639"/>
                <wp:effectExtent l="0" t="0" r="15240" b="14605"/>
                <wp:docPr id="35" name="Chart 35">
                  <a:extLst xmlns:a="http://schemas.openxmlformats.org/drawingml/2006/main">
                    <a:ext uri="{FF2B5EF4-FFF2-40B4-BE49-F238E27FC236}">
                      <a16:creationId xmlns:a16="http://schemas.microsoft.com/office/drawing/2014/main" id="{96D19D99-B8E3-4E2A-942E-DC0043EB6DF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5" name="Chart 35">
                          <a:extLst>
                            <a:ext uri="{FF2B5EF4-FFF2-40B4-BE49-F238E27FC236}">
                              <a16:creationId xmlns:a16="http://schemas.microsoft.com/office/drawing/2014/main" id="{96D19D99-B8E3-4E2A-942E-DC0043EB6DF6}"/>
                            </a:ext>
                          </a:extLst>
                        </pic:cNvPr>
                        <pic:cNvPicPr>
                          <a:picLocks noGrp="1" noRot="1" noChangeAspect="1" noMove="1" noResize="1" noEditPoints="1" noAdjustHandles="1" noChangeArrowheads="1" noChangeShapeType="1"/>
                        </pic:cNvPicPr>
                      </pic:nvPicPr>
                      <pic:blipFill>
                        <a:blip r:embed="rId46"/>
                        <a:stretch>
                          <a:fillRect/>
                        </a:stretch>
                      </pic:blipFill>
                      <pic:spPr>
                        <a:xfrm>
                          <a:off x="0" y="0"/>
                          <a:ext cx="4309110" cy="2671445"/>
                        </a:xfrm>
                        <a:prstGeom prst="rect">
                          <a:avLst/>
                        </a:prstGeom>
                      </pic:spPr>
                    </pic:pic>
                  </a:graphicData>
                </a:graphic>
              </wp:inline>
            </w:drawing>
          </mc:Fallback>
        </mc:AlternateContent>
      </w:r>
    </w:p>
    <w:p w14:paraId="4F8EC470" w14:textId="2CE8676E" w:rsidR="00D65C5B" w:rsidRDefault="00D86326" w:rsidP="002A6F6D">
      <w:pPr>
        <w:spacing w:line="360" w:lineRule="auto"/>
      </w:pPr>
      <w:r>
        <w:t xml:space="preserve">Accordingly, I have </w:t>
      </w:r>
      <w:r w:rsidR="00D62B61">
        <w:t xml:space="preserve">obtained ABS </w:t>
      </w:r>
      <w:r w:rsidR="00BA34D7">
        <w:t xml:space="preserve">(2016) </w:t>
      </w:r>
      <w:r w:rsidR="00D62B61">
        <w:t>data on the value of agricultural commodities produced in the local government area and have augmented this with ABARES</w:t>
      </w:r>
      <w:r w:rsidR="00BA34D7">
        <w:t xml:space="preserve"> (2020)</w:t>
      </w:r>
      <w:r w:rsidR="00D62B61">
        <w:t xml:space="preserve"> data to paint a picture of the capacity of this category of ratepayers to absorb the proposed special rate variation. The data in Table 4 is derived from an ABS publication that is only available quinquennially (the last issue being 2016). As can be seen, the major commodities produced, in a value sense, are broadacre crops (</w:t>
      </w:r>
      <w:r w:rsidR="002A6F6D">
        <w:t>oats</w:t>
      </w:r>
      <w:r w:rsidR="00D62B61">
        <w:t xml:space="preserve">, barley, wheat and triticale), wool (extremely fine </w:t>
      </w:r>
      <w:r w:rsidR="005D2C65">
        <w:t xml:space="preserve">micron </w:t>
      </w:r>
      <w:r w:rsidR="005B486B">
        <w:t xml:space="preserve">wool is </w:t>
      </w:r>
      <w:r w:rsidR="00D62B61">
        <w:t>grown in the high country), and meat (both a bi-product of the wool industry as well as a dedicated venture).</w:t>
      </w:r>
    </w:p>
    <w:p w14:paraId="02D1D36F" w14:textId="02E1D8B3" w:rsidR="00D62B61" w:rsidRDefault="00D62B61"/>
    <w:p w14:paraId="28A73919" w14:textId="5B6A3070" w:rsidR="00ED7E44" w:rsidRPr="00ED7E44" w:rsidRDefault="00ED7E44">
      <w:pPr>
        <w:rPr>
          <w:b/>
        </w:rPr>
      </w:pPr>
      <w:r>
        <w:rPr>
          <w:b/>
        </w:rPr>
        <w:lastRenderedPageBreak/>
        <w:t xml:space="preserve">Table 4. </w:t>
      </w:r>
      <w:r w:rsidRPr="00ED7E44">
        <w:rPr>
          <w:b/>
        </w:rPr>
        <w:t>Agr</w:t>
      </w:r>
      <w:r>
        <w:rPr>
          <w:b/>
        </w:rPr>
        <w:t>icultural Production by Value</w:t>
      </w:r>
      <w:r w:rsidRPr="00ED7E44">
        <w:rPr>
          <w:b/>
        </w:rPr>
        <w:t>, Cootamundra-Gundagai, 2016.</w:t>
      </w:r>
    </w:p>
    <w:p w14:paraId="36566C6C" w14:textId="5CF8EA68" w:rsidR="00D65C5B" w:rsidRDefault="00ED7E44">
      <w:r w:rsidRPr="00ED7E44">
        <w:rPr>
          <w:noProof/>
          <w:lang w:eastAsia="en-AU"/>
        </w:rPr>
        <w:drawing>
          <wp:inline distT="0" distB="0" distL="0" distR="0" wp14:anchorId="38945472" wp14:editId="7EDF70D7">
            <wp:extent cx="4969510" cy="183705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69510" cy="1837055"/>
                    </a:xfrm>
                    <a:prstGeom prst="rect">
                      <a:avLst/>
                    </a:prstGeom>
                    <a:noFill/>
                    <a:ln>
                      <a:noFill/>
                    </a:ln>
                  </pic:spPr>
                </pic:pic>
              </a:graphicData>
            </a:graphic>
          </wp:inline>
        </w:drawing>
      </w:r>
    </w:p>
    <w:p w14:paraId="505A9222" w14:textId="025ECA7B" w:rsidR="00D65C5B" w:rsidRDefault="00D62B61" w:rsidP="002A6F6D">
      <w:pPr>
        <w:spacing w:line="360" w:lineRule="auto"/>
      </w:pPr>
      <w:r>
        <w:t xml:space="preserve">In Figure 18, I chart the relative values </w:t>
      </w:r>
      <w:r w:rsidR="005B486B">
        <w:t xml:space="preserve">of these categories of commodities </w:t>
      </w:r>
      <w:r>
        <w:t>and it is clearer that the major source of value is meat (46%), followed by broadacre crops (29%), and wool (17%). Indeed</w:t>
      </w:r>
      <w:r w:rsidR="005B486B">
        <w:t>,</w:t>
      </w:r>
      <w:r>
        <w:t xml:space="preserve"> these three</w:t>
      </w:r>
      <w:r w:rsidR="005D2C65">
        <w:t xml:space="preserve"> activities account for over ninety percent</w:t>
      </w:r>
      <w:r>
        <w:t xml:space="preserve"> of agricultural production in the local government area.</w:t>
      </w:r>
      <w:r w:rsidR="00911D26">
        <w:t xml:space="preserve"> </w:t>
      </w:r>
    </w:p>
    <w:p w14:paraId="27B7B091" w14:textId="4BD7398F" w:rsidR="00ED7E44" w:rsidRPr="00ED7E44" w:rsidRDefault="00F900FC">
      <w:pPr>
        <w:rPr>
          <w:b/>
        </w:rPr>
      </w:pPr>
      <w:r>
        <w:rPr>
          <w:b/>
        </w:rPr>
        <w:t>Figure 18</w:t>
      </w:r>
      <w:r w:rsidR="00ED7E44" w:rsidRPr="00ED7E44">
        <w:rPr>
          <w:b/>
        </w:rPr>
        <w:t xml:space="preserve">. Agricultural Production By Value, </w:t>
      </w:r>
      <w:r>
        <w:rPr>
          <w:b/>
        </w:rPr>
        <w:t xml:space="preserve">Cootamundra-Gundagai </w:t>
      </w:r>
      <w:r w:rsidR="00ED7E44" w:rsidRPr="00ED7E44">
        <w:rPr>
          <w:b/>
        </w:rPr>
        <w:t>2016.</w:t>
      </w:r>
    </w:p>
    <w:p w14:paraId="7E434BC5" w14:textId="4F4C05B8" w:rsidR="00D65C5B" w:rsidRDefault="00ED7E44">
      <w:r>
        <w:rPr>
          <w:noProof/>
          <w:lang w:eastAsia="en-AU"/>
        </w:rPr>
        <w:drawing>
          <wp:inline distT="0" distB="0" distL="0" distR="0" wp14:anchorId="6DB8BBFF" wp14:editId="00379FBC">
            <wp:extent cx="4301656" cy="2585760"/>
            <wp:effectExtent l="0" t="0" r="381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10458" cy="2591051"/>
                    </a:xfrm>
                    <a:prstGeom prst="rect">
                      <a:avLst/>
                    </a:prstGeom>
                    <a:noFill/>
                  </pic:spPr>
                </pic:pic>
              </a:graphicData>
            </a:graphic>
          </wp:inline>
        </w:drawing>
      </w:r>
    </w:p>
    <w:p w14:paraId="0F2AEFC5" w14:textId="2BB58316" w:rsidR="00D65C5B" w:rsidRDefault="00911D26" w:rsidP="002A6F6D">
      <w:pPr>
        <w:spacing w:line="360" w:lineRule="auto"/>
      </w:pPr>
      <w:r>
        <w:t xml:space="preserve">Now that we understand the main agricultural activities in the local government area we can get a sense of the capacity to pay of farmers by examining price trend data. In Figure 19 I employ ABARES </w:t>
      </w:r>
      <w:r w:rsidR="007F56D0">
        <w:t xml:space="preserve">(2020) </w:t>
      </w:r>
      <w:r>
        <w:t xml:space="preserve">data to show that the major meat enterprises in Cootamundra-Gundagai have been subject to quite positive growth in prices of recent years. This is especially the case for lamb and mutton. </w:t>
      </w:r>
    </w:p>
    <w:p w14:paraId="232DF703" w14:textId="21D0B854" w:rsidR="00F900FC" w:rsidRPr="00F900FC" w:rsidRDefault="00F900FC">
      <w:pPr>
        <w:rPr>
          <w:b/>
        </w:rPr>
      </w:pPr>
      <w:r w:rsidRPr="00F900FC">
        <w:rPr>
          <w:b/>
        </w:rPr>
        <w:lastRenderedPageBreak/>
        <w:t>Figure 19. Meat Prices</w:t>
      </w:r>
    </w:p>
    <w:p w14:paraId="2893E439" w14:textId="4DD21DB6" w:rsidR="00D65C5B" w:rsidRDefault="003706D2">
      <w:r>
        <w:rPr>
          <w:noProof/>
          <w:lang w:eastAsia="en-AU"/>
        </w:rPr>
        <w:drawing>
          <wp:inline distT="0" distB="0" distL="0" distR="0" wp14:anchorId="71B7E733" wp14:editId="08E0EF67">
            <wp:extent cx="4301490" cy="2299689"/>
            <wp:effectExtent l="0" t="0" r="381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19083" cy="2309094"/>
                    </a:xfrm>
                    <a:prstGeom prst="rect">
                      <a:avLst/>
                    </a:prstGeom>
                    <a:noFill/>
                  </pic:spPr>
                </pic:pic>
              </a:graphicData>
            </a:graphic>
          </wp:inline>
        </w:drawing>
      </w:r>
    </w:p>
    <w:p w14:paraId="44B5B59A" w14:textId="424FCFC5" w:rsidR="00D65C5B" w:rsidRDefault="00871E20" w:rsidP="002A6F6D">
      <w:pPr>
        <w:spacing w:line="360" w:lineRule="auto"/>
      </w:pPr>
      <w:r>
        <w:t xml:space="preserve">Moreover, the current year has seen strong growth in prices for cattle – Meat and Livestock Australia (2020) </w:t>
      </w:r>
      <w:r w:rsidRPr="005D2C65">
        <w:rPr>
          <w:i/>
        </w:rPr>
        <w:t>Daily Indicators</w:t>
      </w:r>
      <w:r>
        <w:t xml:space="preserve"> suggest that prices have jumped from 477EYCI</w:t>
      </w:r>
      <w:r>
        <w:rPr>
          <w:rStyle w:val="FootnoteReference"/>
        </w:rPr>
        <w:footnoteReference w:id="4"/>
      </w:r>
      <w:r>
        <w:t xml:space="preserve"> on the 9 January to peak at 829.25EYCI on the 17</w:t>
      </w:r>
      <w:r w:rsidRPr="00871E20">
        <w:rPr>
          <w:vertAlign w:val="superscript"/>
        </w:rPr>
        <w:t>th</w:t>
      </w:r>
      <w:r>
        <w:t xml:space="preserve"> November, 2020. Similarly sheep prices have also been relatively good commencing at 702 NTLI</w:t>
      </w:r>
      <w:r>
        <w:rPr>
          <w:rStyle w:val="FootnoteReference"/>
        </w:rPr>
        <w:footnoteReference w:id="5"/>
      </w:r>
      <w:r>
        <w:t xml:space="preserve"> on the 5</w:t>
      </w:r>
      <w:r w:rsidRPr="00871E20">
        <w:rPr>
          <w:vertAlign w:val="superscript"/>
        </w:rPr>
        <w:t>th</w:t>
      </w:r>
      <w:r>
        <w:t xml:space="preserve"> of January, 2020 and peaking at 949 NTLI on the 4</w:t>
      </w:r>
      <w:r w:rsidRPr="00871E20">
        <w:rPr>
          <w:vertAlign w:val="superscript"/>
        </w:rPr>
        <w:t>th</w:t>
      </w:r>
      <w:r>
        <w:t xml:space="preserve"> of March 2020.</w:t>
      </w:r>
    </w:p>
    <w:p w14:paraId="2A794CFA" w14:textId="18C37198" w:rsidR="00F900FC" w:rsidRDefault="00871E20" w:rsidP="002A6F6D">
      <w:pPr>
        <w:spacing w:line="360" w:lineRule="auto"/>
      </w:pPr>
      <w:r>
        <w:t xml:space="preserve">The second largest area of agricultural activity is broadacre farming mostly concentrated on barley, oats, wheat and triticale. </w:t>
      </w:r>
      <w:r w:rsidR="00A600B4">
        <w:t xml:space="preserve">ABARES data shows that this area of activity has </w:t>
      </w:r>
      <w:r w:rsidR="007F56D0">
        <w:t xml:space="preserve">also </w:t>
      </w:r>
      <w:r w:rsidR="00A600B4">
        <w:t>yield</w:t>
      </w:r>
      <w:r w:rsidR="0086569C">
        <w:t xml:space="preserve">ed </w:t>
      </w:r>
      <w:r w:rsidR="007F56D0">
        <w:t xml:space="preserve">strong </w:t>
      </w:r>
      <w:r w:rsidR="0086569C">
        <w:t>returns</w:t>
      </w:r>
      <w:r w:rsidR="00A600B4">
        <w:t xml:space="preserve"> in recent years (se Figure 20). </w:t>
      </w:r>
    </w:p>
    <w:p w14:paraId="52C661D8" w14:textId="77777777" w:rsidR="002A6F6D" w:rsidRDefault="002A6F6D">
      <w:pPr>
        <w:rPr>
          <w:b/>
        </w:rPr>
      </w:pPr>
      <w:r>
        <w:rPr>
          <w:b/>
        </w:rPr>
        <w:br w:type="page"/>
      </w:r>
    </w:p>
    <w:p w14:paraId="0DD367E3" w14:textId="646D5E45" w:rsidR="00D62B61" w:rsidRPr="00F900FC" w:rsidRDefault="00D62B61" w:rsidP="00D62B61">
      <w:pPr>
        <w:rPr>
          <w:b/>
        </w:rPr>
      </w:pPr>
      <w:r>
        <w:rPr>
          <w:b/>
        </w:rPr>
        <w:lastRenderedPageBreak/>
        <w:t>Figure 20</w:t>
      </w:r>
      <w:r w:rsidRPr="00F900FC">
        <w:rPr>
          <w:b/>
        </w:rPr>
        <w:t>. Grain Prices.</w:t>
      </w:r>
    </w:p>
    <w:p w14:paraId="0245160F" w14:textId="77777777" w:rsidR="00D62B61" w:rsidRDefault="00D62B61" w:rsidP="00D62B61">
      <w:r>
        <w:rPr>
          <w:noProof/>
          <w:lang w:eastAsia="en-AU"/>
        </w:rPr>
        <w:drawing>
          <wp:inline distT="0" distB="0" distL="0" distR="0" wp14:anchorId="2F6BF679" wp14:editId="5BDB3C33">
            <wp:extent cx="4349364" cy="261443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58811" cy="2620116"/>
                    </a:xfrm>
                    <a:prstGeom prst="rect">
                      <a:avLst/>
                    </a:prstGeom>
                    <a:noFill/>
                  </pic:spPr>
                </pic:pic>
              </a:graphicData>
            </a:graphic>
          </wp:inline>
        </w:drawing>
      </w:r>
    </w:p>
    <w:p w14:paraId="78118D66" w14:textId="23587A55" w:rsidR="00F900FC" w:rsidRDefault="00F900FC"/>
    <w:p w14:paraId="0D859F73" w14:textId="4A415B03" w:rsidR="00F900FC" w:rsidRDefault="0086569C" w:rsidP="002A6F6D">
      <w:pPr>
        <w:spacing w:line="360" w:lineRule="auto"/>
      </w:pPr>
      <w:r>
        <w:t xml:space="preserve">The final major area of agricultural endeavour is wool. Wool prices were </w:t>
      </w:r>
      <w:r w:rsidR="00D634C8">
        <w:t xml:space="preserve">very </w:t>
      </w:r>
      <w:r>
        <w:t>subdued in the 2019-20 financial year after coming off peaks in 2018-19. (see Figure 21)</w:t>
      </w:r>
      <w:r w:rsidR="00D634C8">
        <w:t xml:space="preserve">. Indeed, rising stockpiles and a relatively stronger Australian dollar have combined to put a fair bit of pressure on wool growers in the second half of 2020. However, it must be remembered that some of this </w:t>
      </w:r>
      <w:r w:rsidR="007F56D0">
        <w:t xml:space="preserve">recent </w:t>
      </w:r>
      <w:r w:rsidR="00D634C8">
        <w:t>market pain is offset by strong meat prices and lower feed prices as a result of the breaking of the drought.</w:t>
      </w:r>
    </w:p>
    <w:p w14:paraId="4A6FF5AF" w14:textId="40016CBF" w:rsidR="00F900FC" w:rsidRPr="00F900FC" w:rsidRDefault="00D62B61">
      <w:pPr>
        <w:rPr>
          <w:b/>
        </w:rPr>
      </w:pPr>
      <w:r>
        <w:rPr>
          <w:b/>
        </w:rPr>
        <w:t>Figure 21</w:t>
      </w:r>
      <w:r w:rsidR="00F900FC" w:rsidRPr="00F900FC">
        <w:rPr>
          <w:b/>
        </w:rPr>
        <w:t>. Wool Prices</w:t>
      </w:r>
    </w:p>
    <w:p w14:paraId="45755CBB" w14:textId="539090A9" w:rsidR="003706D2" w:rsidRDefault="003706D2">
      <w:r>
        <w:rPr>
          <w:noProof/>
          <w:lang w:eastAsia="en-AU"/>
        </w:rPr>
        <w:drawing>
          <wp:inline distT="0" distB="0" distL="0" distR="0" wp14:anchorId="14C2B277" wp14:editId="1A5FCC11">
            <wp:extent cx="4349364" cy="26144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55501" cy="2618127"/>
                    </a:xfrm>
                    <a:prstGeom prst="rect">
                      <a:avLst/>
                    </a:prstGeom>
                    <a:noFill/>
                  </pic:spPr>
                </pic:pic>
              </a:graphicData>
            </a:graphic>
          </wp:inline>
        </w:drawing>
      </w:r>
    </w:p>
    <w:p w14:paraId="5DF2084C" w14:textId="275E7972" w:rsidR="003706D2" w:rsidRDefault="00D634C8" w:rsidP="002A6F6D">
      <w:pPr>
        <w:spacing w:line="360" w:lineRule="auto"/>
      </w:pPr>
      <w:r>
        <w:lastRenderedPageBreak/>
        <w:t xml:space="preserve">Indeed, rainfall is a key driver of agricultural production. In the appendix to this report I include </w:t>
      </w:r>
      <w:r w:rsidR="002A6F6D">
        <w:t xml:space="preserve">Bureau of Meteorology </w:t>
      </w:r>
      <w:r w:rsidR="007F56D0">
        <w:t>(</w:t>
      </w:r>
      <w:r w:rsidR="002A6F6D">
        <w:t>BOM</w:t>
      </w:r>
      <w:r w:rsidR="007F56D0">
        <w:t>)</w:t>
      </w:r>
      <w:r w:rsidR="002A6F6D">
        <w:t xml:space="preserve"> data that shows rainfall for the </w:t>
      </w:r>
      <w:r w:rsidR="007F56D0">
        <w:t xml:space="preserve">calendar </w:t>
      </w:r>
      <w:r w:rsidR="002A6F6D">
        <w:t>year has been the best in almost a decade for both Cootamundra and Gundagai. Dams are fil</w:t>
      </w:r>
      <w:r w:rsidR="00DB1595">
        <w:t>l</w:t>
      </w:r>
      <w:r w:rsidR="002A6F6D">
        <w:t>ing up and soil moisture levels have increased. Moreover the BOM is predicting higher than average rainfall up until at least March 2021. Therefore it is reasonable to predict higher yields and income flows for Cootamundra-Gundaga</w:t>
      </w:r>
      <w:r w:rsidR="007F56D0">
        <w:t>i farmers for at least</w:t>
      </w:r>
      <w:r w:rsidR="002A6F6D">
        <w:t xml:space="preserve"> the near future.  </w:t>
      </w:r>
    </w:p>
    <w:p w14:paraId="619D8CA5" w14:textId="6D55AAB7" w:rsidR="002A6F6D" w:rsidRDefault="002A6F6D" w:rsidP="007F56D0">
      <w:pPr>
        <w:spacing w:line="360" w:lineRule="auto"/>
      </w:pPr>
      <w:r>
        <w:t xml:space="preserve">In sum, </w:t>
      </w:r>
      <w:r w:rsidR="007F56D0">
        <w:t xml:space="preserve">the unincorporated business income of Cootamundra-Gundagai stands in stark contrast to the wage earner and welfare recipient data that we examined in earlier sections of this report. Indeed, Cootamundra-Gundagai is in the top quartile for unincorporated business income, relative to the OLG11 peer group. This suggests that business and farm ratepayers in Cootamundra-Gundagai area have relatively greater capacity to pay rates than do their peers. Moreover, prices in most of the major agricultural pursuits conducted in the region have been very good and recent rains and forecasts suggest unusually strong conditions for next year. </w:t>
      </w:r>
    </w:p>
    <w:p w14:paraId="1914CE86" w14:textId="77777777" w:rsidR="002A6F6D" w:rsidRDefault="002A6F6D">
      <w:pPr>
        <w:rPr>
          <w:b/>
        </w:rPr>
      </w:pPr>
      <w:r>
        <w:rPr>
          <w:b/>
        </w:rPr>
        <w:br w:type="page"/>
      </w:r>
    </w:p>
    <w:p w14:paraId="28A869AB" w14:textId="5A4FE47E" w:rsidR="00D65C5B" w:rsidRDefault="00C82D71" w:rsidP="00D65C5B">
      <w:pPr>
        <w:rPr>
          <w:b/>
        </w:rPr>
      </w:pPr>
      <w:r>
        <w:rPr>
          <w:b/>
        </w:rPr>
        <w:lastRenderedPageBreak/>
        <w:t>5. Robust Econometric Analysis of Rate Capacity.</w:t>
      </w:r>
    </w:p>
    <w:p w14:paraId="18A40356" w14:textId="46FB30F2" w:rsidR="00D65C5B" w:rsidRDefault="00C82D71" w:rsidP="00C82D71">
      <w:pPr>
        <w:spacing w:line="360" w:lineRule="auto"/>
      </w:pPr>
      <w:r>
        <w:t xml:space="preserve">Thus far we have examined a large number of metrics which seem to suggest that the ratepayers of Cootamundra-Gundagai do have the capacity to pay additional local government taxation. However, the large number of metrics are difficult to reconcile for an overall assessment of rate capacity. Moreover, </w:t>
      </w:r>
      <w:r w:rsidR="002C2105">
        <w:t>our</w:t>
      </w:r>
      <w:r>
        <w:t xml:space="preserve"> comparisons</w:t>
      </w:r>
      <w:r w:rsidR="002C2105">
        <w:t>, up to this point, have only been made with respect to other large</w:t>
      </w:r>
      <w:r>
        <w:t xml:space="preserve"> rural councils (OLG11)</w:t>
      </w:r>
      <w:r w:rsidR="002C2105">
        <w:t>.</w:t>
      </w:r>
      <w:r>
        <w:t xml:space="preserve"> </w:t>
      </w:r>
      <w:r w:rsidR="002C2105">
        <w:t>A deeper appreciation of revenue effort m</w:t>
      </w:r>
      <w:r w:rsidR="00AB629C">
        <w:t>ight therefore</w:t>
      </w:r>
      <w:r w:rsidR="002C2105">
        <w:t xml:space="preserve"> be expected to</w:t>
      </w:r>
      <w:r>
        <w:t xml:space="preserve"> be had by examining the statistical association between the </w:t>
      </w:r>
      <w:r w:rsidR="002C2105">
        <w:t xml:space="preserve">determinants </w:t>
      </w:r>
      <w:r>
        <w:t>of revenue capacity over a broader cohort of peers.</w:t>
      </w:r>
    </w:p>
    <w:p w14:paraId="7B86C63F" w14:textId="36BFEA81" w:rsidR="00D65C5B" w:rsidRPr="00C82D71" w:rsidRDefault="00C82D71" w:rsidP="00C82D71">
      <w:pPr>
        <w:spacing w:line="360" w:lineRule="auto"/>
      </w:pPr>
      <w:r>
        <w:t>Accordingly,</w:t>
      </w:r>
      <w:r w:rsidR="002C2105">
        <w:t xml:space="preserve"> it seems</w:t>
      </w:r>
      <w:r>
        <w:t xml:space="preserve"> necessary to conduct multiple regression analysis over a panel (three years) of data for all rural local governments in the state </w:t>
      </w:r>
      <w:r w:rsidR="00AB629C">
        <w:t xml:space="preserve">in order </w:t>
      </w:r>
      <w:r>
        <w:t>to get the most accurate overall appraisal of rate capacity for Cootamundra-Gundagai Regional Council. Multiple regression analysis is a sophisticated statistical</w:t>
      </w:r>
      <w:r w:rsidR="00AB629C">
        <w:t xml:space="preserve"> approach for</w:t>
      </w:r>
      <w:r>
        <w:t xml:space="preserve"> analysing data which is regularly employ</w:t>
      </w:r>
      <w:r w:rsidR="00AB629C">
        <w:t>ed</w:t>
      </w:r>
      <w:r>
        <w:t xml:space="preserve"> by econometricians and other scholars. Regression measures the mean response in a desired de</w:t>
      </w:r>
      <w:r w:rsidR="005B1BE9">
        <w:t>pendent variable, with respect to changes in</w:t>
      </w:r>
      <w:r>
        <w:t xml:space="preserve"> specified independent variables, and thus allows scholars to understand the likely outcome for a</w:t>
      </w:r>
      <w:r w:rsidR="002C2105">
        <w:t>n association</w:t>
      </w:r>
      <w:r>
        <w:t xml:space="preserve"> given certain determinants. It is indeed both the most robust and most sophisticated method for accurately evaluating the revenue capacity for local governments.</w:t>
      </w:r>
    </w:p>
    <w:p w14:paraId="4CAD1873" w14:textId="36EA270D" w:rsidR="000B7CBA" w:rsidRPr="00C82D71" w:rsidRDefault="00C82D71" w:rsidP="00C82D71">
      <w:pPr>
        <w:spacing w:line="360" w:lineRule="auto"/>
      </w:pPr>
      <w:r>
        <w:t>The econometric analysis that follows can be specified as:</w:t>
      </w:r>
    </w:p>
    <w:p w14:paraId="26199D24" w14:textId="1571146C" w:rsidR="000B7CBA" w:rsidRPr="000F6195" w:rsidRDefault="000B7CBA" w:rsidP="000B7CBA">
      <w:pPr>
        <w:spacing w:line="480" w:lineRule="auto"/>
        <w:rPr>
          <w:rFonts w:ascii="Times New Roman" w:hAnsi="Times New Roman" w:cs="Times New Roman"/>
          <w:szCs w:val="24"/>
        </w:rPr>
      </w:pPr>
      <w:r w:rsidRPr="00BD6324">
        <w:rPr>
          <w:rFonts w:ascii="Times New Roman" w:hAnsi="Times New Roman" w:cs="Times New Roman"/>
          <w:b/>
          <w:szCs w:val="24"/>
        </w:rPr>
        <w:t>R</w:t>
      </w:r>
      <w:r w:rsidRPr="000F6195">
        <w:rPr>
          <w:rFonts w:ascii="Times New Roman" w:hAnsi="Times New Roman" w:cs="Times New Roman"/>
          <w:szCs w:val="24"/>
        </w:rPr>
        <w:t xml:space="preserve"> = α + β</w:t>
      </w:r>
      <w:r w:rsidRPr="000F6195">
        <w:rPr>
          <w:rFonts w:ascii="Times New Roman" w:hAnsi="Times New Roman" w:cs="Times New Roman"/>
          <w:szCs w:val="24"/>
          <w:vertAlign w:val="subscript"/>
        </w:rPr>
        <w:t>1</w:t>
      </w:r>
      <w:r>
        <w:rPr>
          <w:rFonts w:ascii="Times New Roman" w:hAnsi="Times New Roman" w:cs="Times New Roman"/>
          <w:b/>
          <w:szCs w:val="24"/>
        </w:rPr>
        <w:t>A</w:t>
      </w:r>
      <w:r w:rsidRPr="000F6195">
        <w:rPr>
          <w:rFonts w:ascii="Times New Roman" w:hAnsi="Times New Roman" w:cs="Times New Roman"/>
          <w:szCs w:val="24"/>
        </w:rPr>
        <w:t xml:space="preserve"> + β</w:t>
      </w:r>
      <w:r w:rsidRPr="000F6195">
        <w:rPr>
          <w:rFonts w:ascii="Times New Roman" w:hAnsi="Times New Roman" w:cs="Times New Roman"/>
          <w:szCs w:val="24"/>
          <w:vertAlign w:val="subscript"/>
        </w:rPr>
        <w:t>2</w:t>
      </w:r>
      <w:r w:rsidRPr="000F6195">
        <w:rPr>
          <w:rFonts w:ascii="Times New Roman" w:hAnsi="Times New Roman" w:cs="Times New Roman"/>
          <w:b/>
          <w:szCs w:val="24"/>
        </w:rPr>
        <w:t>X</w:t>
      </w:r>
      <w:r w:rsidRPr="000F6195">
        <w:rPr>
          <w:rFonts w:ascii="Times New Roman" w:hAnsi="Times New Roman" w:cs="Times New Roman"/>
          <w:szCs w:val="24"/>
        </w:rPr>
        <w:t xml:space="preserve"> + </w:t>
      </w:r>
      <w:r w:rsidRPr="000F6195">
        <w:rPr>
          <w:rFonts w:ascii="Times New Roman" w:hAnsi="Times New Roman" w:cs="Times New Roman"/>
          <w:b/>
          <w:szCs w:val="24"/>
        </w:rPr>
        <w:t>μ</w:t>
      </w:r>
      <w:r w:rsidR="00C82D71">
        <w:rPr>
          <w:rFonts w:ascii="Times New Roman" w:hAnsi="Times New Roman" w:cs="Times New Roman"/>
          <w:b/>
          <w:szCs w:val="24"/>
        </w:rPr>
        <w:t>.</w:t>
      </w:r>
      <w:r w:rsidRPr="000F6195">
        <w:rPr>
          <w:rFonts w:ascii="Times New Roman" w:hAnsi="Times New Roman" w:cs="Times New Roman"/>
          <w:szCs w:val="24"/>
        </w:rPr>
        <w:tab/>
      </w:r>
      <w:r w:rsidRPr="000F6195">
        <w:rPr>
          <w:rFonts w:ascii="Times New Roman" w:hAnsi="Times New Roman" w:cs="Times New Roman"/>
          <w:szCs w:val="24"/>
        </w:rPr>
        <w:tab/>
      </w:r>
      <w:r w:rsidRPr="000F6195">
        <w:rPr>
          <w:rFonts w:ascii="Times New Roman" w:hAnsi="Times New Roman" w:cs="Times New Roman"/>
          <w:szCs w:val="24"/>
        </w:rPr>
        <w:tab/>
      </w:r>
      <w:r w:rsidRPr="000F6195">
        <w:rPr>
          <w:rFonts w:ascii="Times New Roman" w:hAnsi="Times New Roman" w:cs="Times New Roman"/>
          <w:szCs w:val="24"/>
        </w:rPr>
        <w:tab/>
      </w:r>
      <w:r w:rsidRPr="000F6195">
        <w:rPr>
          <w:rFonts w:ascii="Times New Roman" w:hAnsi="Times New Roman" w:cs="Times New Roman"/>
          <w:szCs w:val="24"/>
        </w:rPr>
        <w:tab/>
      </w:r>
      <w:r w:rsidRPr="000F6195">
        <w:rPr>
          <w:rFonts w:ascii="Times New Roman" w:hAnsi="Times New Roman" w:cs="Times New Roman"/>
          <w:szCs w:val="24"/>
        </w:rPr>
        <w:tab/>
      </w:r>
      <w:r w:rsidRPr="000F6195">
        <w:rPr>
          <w:rFonts w:ascii="Times New Roman" w:hAnsi="Times New Roman" w:cs="Times New Roman"/>
          <w:szCs w:val="24"/>
        </w:rPr>
        <w:tab/>
      </w:r>
    </w:p>
    <w:p w14:paraId="3FAE2779" w14:textId="377ADC67" w:rsidR="000B7CBA" w:rsidRDefault="000B7CBA" w:rsidP="00C82D71">
      <w:pPr>
        <w:spacing w:line="360" w:lineRule="auto"/>
      </w:pPr>
      <w:r>
        <w:t xml:space="preserve">In this specification </w:t>
      </w:r>
      <w:r w:rsidRPr="00C82D71">
        <w:rPr>
          <w:b/>
        </w:rPr>
        <w:t>R</w:t>
      </w:r>
      <w:r w:rsidR="002C2105">
        <w:rPr>
          <w:b/>
        </w:rPr>
        <w:t xml:space="preserve"> </w:t>
      </w:r>
      <w:r w:rsidR="002C2105" w:rsidRPr="002C2105">
        <w:t>(the dependent variable)</w:t>
      </w:r>
      <w:r>
        <w:t xml:space="preserve"> is the natural log of the total rates revenue for each council in each year, </w:t>
      </w:r>
      <w:r w:rsidRPr="00C82D71">
        <w:rPr>
          <w:b/>
        </w:rPr>
        <w:t>A</w:t>
      </w:r>
      <w:r>
        <w:t xml:space="preserve"> is a vector of the respective number of assessments in each of the four categories, and </w:t>
      </w:r>
      <w:r w:rsidRPr="002C2105">
        <w:rPr>
          <w:b/>
        </w:rPr>
        <w:t>X</w:t>
      </w:r>
      <w:r>
        <w:t xml:space="preserve"> is a vector of controls for income characteristics for the population. Mu (</w:t>
      </w:r>
      <w:r w:rsidRPr="002C2105">
        <w:rPr>
          <w:b/>
        </w:rPr>
        <w:t>μ</w:t>
      </w:r>
      <w:r>
        <w:t>) is an independent identically distributed random error term. Notably natural log transformations were executed where required to correct for skewed distributions</w:t>
      </w:r>
      <w:r w:rsidR="00C82D71">
        <w:t xml:space="preserve"> as detailed in Table 5</w:t>
      </w:r>
      <w:r>
        <w:t xml:space="preserve">. All standard econometric tests were conducted and the residuals were </w:t>
      </w:r>
      <w:r>
        <w:lastRenderedPageBreak/>
        <w:t>confirmed to be near-normal in distribution</w:t>
      </w:r>
      <w:r w:rsidR="002C2105">
        <w:t xml:space="preserve"> (an important assumption for valid statistical reasoning)</w:t>
      </w:r>
      <w:r>
        <w:t xml:space="preserve">. </w:t>
      </w:r>
    </w:p>
    <w:p w14:paraId="714ABB0E" w14:textId="5677AF66" w:rsidR="000B7CBA" w:rsidRPr="005F493C" w:rsidRDefault="005F493C" w:rsidP="000B7CBA">
      <w:pPr>
        <w:spacing w:after="0" w:line="240" w:lineRule="auto"/>
        <w:rPr>
          <w:rFonts w:cs="Arial"/>
          <w:b/>
          <w:szCs w:val="24"/>
        </w:rPr>
      </w:pPr>
      <w:r w:rsidRPr="005F493C">
        <w:rPr>
          <w:rFonts w:cs="Arial"/>
          <w:b/>
          <w:szCs w:val="24"/>
        </w:rPr>
        <w:t>Table</w:t>
      </w:r>
      <w:r w:rsidR="008D03A1">
        <w:rPr>
          <w:rFonts w:cs="Arial"/>
          <w:b/>
          <w:szCs w:val="24"/>
        </w:rPr>
        <w:t xml:space="preserve"> </w:t>
      </w:r>
      <w:r w:rsidRPr="005F493C">
        <w:rPr>
          <w:rFonts w:cs="Arial"/>
          <w:b/>
          <w:szCs w:val="24"/>
        </w:rPr>
        <w:t>5.</w:t>
      </w:r>
      <w:r>
        <w:rPr>
          <w:rFonts w:cs="Arial"/>
          <w:b/>
          <w:szCs w:val="24"/>
        </w:rPr>
        <w:t xml:space="preserve"> Definitions and M</w:t>
      </w:r>
      <w:r w:rsidR="000B7CBA" w:rsidRPr="005F493C">
        <w:rPr>
          <w:rFonts w:cs="Arial"/>
          <w:b/>
          <w:szCs w:val="24"/>
        </w:rPr>
        <w:t>e</w:t>
      </w:r>
      <w:r>
        <w:rPr>
          <w:rFonts w:cs="Arial"/>
          <w:b/>
          <w:szCs w:val="24"/>
        </w:rPr>
        <w:t>ans of V</w:t>
      </w:r>
      <w:r w:rsidR="000B7CBA" w:rsidRPr="005F493C">
        <w:rPr>
          <w:rFonts w:cs="Arial"/>
          <w:b/>
          <w:szCs w:val="24"/>
        </w:rPr>
        <w:t>ariables, 2018-2020</w:t>
      </w:r>
    </w:p>
    <w:tbl>
      <w:tblPr>
        <w:tblStyle w:val="TableSimple1"/>
        <w:tblW w:w="8330" w:type="dxa"/>
        <w:tblLook w:val="04A0" w:firstRow="1" w:lastRow="0" w:firstColumn="1" w:lastColumn="0" w:noHBand="0" w:noVBand="1"/>
      </w:tblPr>
      <w:tblGrid>
        <w:gridCol w:w="2802"/>
        <w:gridCol w:w="4110"/>
        <w:gridCol w:w="1418"/>
      </w:tblGrid>
      <w:tr w:rsidR="000B7CBA" w:rsidRPr="00EF29CC" w14:paraId="3206982F" w14:textId="77777777" w:rsidTr="006D1D4E">
        <w:trPr>
          <w:cnfStyle w:val="100000000000" w:firstRow="1" w:lastRow="0" w:firstColumn="0" w:lastColumn="0" w:oddVBand="0" w:evenVBand="0" w:oddHBand="0" w:evenHBand="0" w:firstRowFirstColumn="0" w:firstRowLastColumn="0" w:lastRowFirstColumn="0" w:lastRowLastColumn="0"/>
        </w:trPr>
        <w:tc>
          <w:tcPr>
            <w:tcW w:w="2802" w:type="dxa"/>
          </w:tcPr>
          <w:p w14:paraId="5AF6FC39" w14:textId="77777777" w:rsidR="000B7CBA" w:rsidRPr="00B40204" w:rsidRDefault="000B7CBA" w:rsidP="006D1D4E">
            <w:pPr>
              <w:rPr>
                <w:b/>
              </w:rPr>
            </w:pPr>
            <w:r w:rsidRPr="00B40204">
              <w:rPr>
                <w:b/>
              </w:rPr>
              <w:t>Variable</w:t>
            </w:r>
          </w:p>
        </w:tc>
        <w:tc>
          <w:tcPr>
            <w:tcW w:w="4110" w:type="dxa"/>
          </w:tcPr>
          <w:p w14:paraId="50370586" w14:textId="77777777" w:rsidR="000B7CBA" w:rsidRPr="00B40204" w:rsidRDefault="000B7CBA" w:rsidP="006D1D4E">
            <w:pPr>
              <w:rPr>
                <w:b/>
              </w:rPr>
            </w:pPr>
            <w:r w:rsidRPr="00B40204">
              <w:rPr>
                <w:b/>
              </w:rPr>
              <w:t>Definition</w:t>
            </w:r>
          </w:p>
        </w:tc>
        <w:tc>
          <w:tcPr>
            <w:tcW w:w="1418" w:type="dxa"/>
          </w:tcPr>
          <w:p w14:paraId="69DBD851" w14:textId="77777777" w:rsidR="000B7CBA" w:rsidRPr="00B40204" w:rsidRDefault="000B7CBA" w:rsidP="006D1D4E">
            <w:pPr>
              <w:jc w:val="right"/>
              <w:rPr>
                <w:b/>
              </w:rPr>
            </w:pPr>
            <w:r>
              <w:rPr>
                <w:b/>
              </w:rPr>
              <w:t>Mean</w:t>
            </w:r>
          </w:p>
        </w:tc>
      </w:tr>
      <w:tr w:rsidR="000B7CBA" w:rsidRPr="00EF29CC" w14:paraId="4C107151" w14:textId="77777777" w:rsidTr="006D1D4E">
        <w:tc>
          <w:tcPr>
            <w:tcW w:w="2802" w:type="dxa"/>
          </w:tcPr>
          <w:p w14:paraId="4209071C" w14:textId="77777777" w:rsidR="000B7CBA" w:rsidRPr="00B40204" w:rsidRDefault="000B7CBA" w:rsidP="006D1D4E">
            <w:pPr>
              <w:rPr>
                <w:b/>
              </w:rPr>
            </w:pPr>
            <w:r>
              <w:rPr>
                <w:b/>
              </w:rPr>
              <w:t>Rates</w:t>
            </w:r>
          </w:p>
        </w:tc>
        <w:tc>
          <w:tcPr>
            <w:tcW w:w="4110" w:type="dxa"/>
          </w:tcPr>
          <w:p w14:paraId="6F629450" w14:textId="77777777" w:rsidR="000B7CBA" w:rsidRPr="00B40204" w:rsidRDefault="000B7CBA" w:rsidP="006D1D4E"/>
        </w:tc>
        <w:tc>
          <w:tcPr>
            <w:tcW w:w="1418" w:type="dxa"/>
          </w:tcPr>
          <w:p w14:paraId="33E0A46B" w14:textId="77777777" w:rsidR="000B7CBA" w:rsidRPr="00B40204" w:rsidRDefault="000B7CBA" w:rsidP="006D1D4E">
            <w:pPr>
              <w:jc w:val="right"/>
            </w:pPr>
          </w:p>
        </w:tc>
      </w:tr>
      <w:tr w:rsidR="000B7CBA" w:rsidRPr="00131269" w14:paraId="3E0BE0B7" w14:textId="77777777" w:rsidTr="006D1D4E">
        <w:tc>
          <w:tcPr>
            <w:tcW w:w="2802" w:type="dxa"/>
          </w:tcPr>
          <w:p w14:paraId="2DD7FF1A" w14:textId="77777777" w:rsidR="000B7CBA" w:rsidRPr="00131269" w:rsidRDefault="000B7CBA" w:rsidP="006D1D4E">
            <w:r>
              <w:t>Rates (ln)</w:t>
            </w:r>
          </w:p>
        </w:tc>
        <w:tc>
          <w:tcPr>
            <w:tcW w:w="4110" w:type="dxa"/>
          </w:tcPr>
          <w:p w14:paraId="526257A5" w14:textId="77777777" w:rsidR="000B7CBA" w:rsidRPr="00131269" w:rsidRDefault="000B7CBA" w:rsidP="006D1D4E">
            <w:r>
              <w:t>Total taxation (rate) take, logged.</w:t>
            </w:r>
          </w:p>
        </w:tc>
        <w:tc>
          <w:tcPr>
            <w:tcW w:w="1418" w:type="dxa"/>
          </w:tcPr>
          <w:p w14:paraId="21C92E8F" w14:textId="7E8A51E0" w:rsidR="000B7CBA" w:rsidRPr="00131269" w:rsidRDefault="00E44835" w:rsidP="006D1D4E">
            <w:pPr>
              <w:jc w:val="right"/>
            </w:pPr>
            <w:r>
              <w:t>9.104</w:t>
            </w:r>
          </w:p>
        </w:tc>
      </w:tr>
      <w:tr w:rsidR="000B7CBA" w:rsidRPr="00EF29CC" w14:paraId="1DB45B72" w14:textId="77777777" w:rsidTr="006D1D4E">
        <w:tc>
          <w:tcPr>
            <w:tcW w:w="2802" w:type="dxa"/>
          </w:tcPr>
          <w:p w14:paraId="68B8B23B" w14:textId="77777777" w:rsidR="000B7CBA" w:rsidRPr="00B40204" w:rsidRDefault="000B7CBA" w:rsidP="006D1D4E">
            <w:pPr>
              <w:rPr>
                <w:b/>
              </w:rPr>
            </w:pPr>
            <w:r>
              <w:rPr>
                <w:b/>
              </w:rPr>
              <w:t>Assessments</w:t>
            </w:r>
          </w:p>
        </w:tc>
        <w:tc>
          <w:tcPr>
            <w:tcW w:w="4110" w:type="dxa"/>
          </w:tcPr>
          <w:p w14:paraId="109A74E7" w14:textId="77777777" w:rsidR="000B7CBA" w:rsidRPr="00B40204" w:rsidRDefault="000B7CBA" w:rsidP="006D1D4E"/>
        </w:tc>
        <w:tc>
          <w:tcPr>
            <w:tcW w:w="1418" w:type="dxa"/>
          </w:tcPr>
          <w:p w14:paraId="108371E0" w14:textId="77777777" w:rsidR="000B7CBA" w:rsidRPr="00B40204" w:rsidRDefault="000B7CBA" w:rsidP="006D1D4E">
            <w:pPr>
              <w:jc w:val="right"/>
            </w:pPr>
          </w:p>
        </w:tc>
      </w:tr>
      <w:tr w:rsidR="000B7CBA" w:rsidRPr="00EF29CC" w14:paraId="562586E8" w14:textId="77777777" w:rsidTr="006D1D4E">
        <w:tc>
          <w:tcPr>
            <w:tcW w:w="2802" w:type="dxa"/>
          </w:tcPr>
          <w:p w14:paraId="2B24D951" w14:textId="77777777" w:rsidR="000B7CBA" w:rsidRPr="00B40204" w:rsidRDefault="000B7CBA" w:rsidP="006D1D4E"/>
        </w:tc>
        <w:tc>
          <w:tcPr>
            <w:tcW w:w="4110" w:type="dxa"/>
          </w:tcPr>
          <w:p w14:paraId="3FB1B50B" w14:textId="77777777" w:rsidR="000B7CBA" w:rsidRPr="00B40204" w:rsidRDefault="000B7CBA" w:rsidP="006D1D4E"/>
        </w:tc>
        <w:tc>
          <w:tcPr>
            <w:tcW w:w="1418" w:type="dxa"/>
          </w:tcPr>
          <w:p w14:paraId="1F7B3ED0" w14:textId="77777777" w:rsidR="000B7CBA" w:rsidRPr="00B40204" w:rsidRDefault="000B7CBA" w:rsidP="006D1D4E">
            <w:pPr>
              <w:jc w:val="right"/>
            </w:pPr>
          </w:p>
        </w:tc>
      </w:tr>
      <w:tr w:rsidR="000B7CBA" w:rsidRPr="00EF29CC" w14:paraId="4AC1F485" w14:textId="77777777" w:rsidTr="006D1D4E">
        <w:tc>
          <w:tcPr>
            <w:tcW w:w="2802" w:type="dxa"/>
          </w:tcPr>
          <w:p w14:paraId="78B547D9" w14:textId="77777777" w:rsidR="000B7CBA" w:rsidRPr="00B40204" w:rsidRDefault="000B7CBA" w:rsidP="006D1D4E">
            <w:r>
              <w:t>Residential (ln)</w:t>
            </w:r>
          </w:p>
        </w:tc>
        <w:tc>
          <w:tcPr>
            <w:tcW w:w="4110" w:type="dxa"/>
          </w:tcPr>
          <w:p w14:paraId="5D923A4E" w14:textId="77777777" w:rsidR="000B7CBA" w:rsidRPr="00B40204" w:rsidRDefault="000B7CBA" w:rsidP="006D1D4E">
            <w:r>
              <w:t>Number of residential assessments, logged.</w:t>
            </w:r>
          </w:p>
        </w:tc>
        <w:tc>
          <w:tcPr>
            <w:tcW w:w="1418" w:type="dxa"/>
          </w:tcPr>
          <w:p w14:paraId="4DD3A085" w14:textId="35E2BD5C" w:rsidR="000B7CBA" w:rsidRPr="00B40204" w:rsidRDefault="00E44835" w:rsidP="006D1D4E">
            <w:pPr>
              <w:jc w:val="right"/>
            </w:pPr>
            <w:r>
              <w:t>7.901</w:t>
            </w:r>
          </w:p>
        </w:tc>
      </w:tr>
      <w:tr w:rsidR="000B7CBA" w:rsidRPr="00EF29CC" w14:paraId="4BB5BF3D" w14:textId="77777777" w:rsidTr="006D1D4E">
        <w:tc>
          <w:tcPr>
            <w:tcW w:w="2802" w:type="dxa"/>
          </w:tcPr>
          <w:p w14:paraId="0DCE62DE" w14:textId="77777777" w:rsidR="000B7CBA" w:rsidRPr="00B40204" w:rsidRDefault="000B7CBA" w:rsidP="006D1D4E">
            <w:r>
              <w:t>Farm</w:t>
            </w:r>
          </w:p>
        </w:tc>
        <w:tc>
          <w:tcPr>
            <w:tcW w:w="4110" w:type="dxa"/>
          </w:tcPr>
          <w:p w14:paraId="41B39C3D" w14:textId="77777777" w:rsidR="000B7CBA" w:rsidRPr="00B40204" w:rsidRDefault="000B7CBA" w:rsidP="006D1D4E">
            <w:r>
              <w:t>Number of farm assessments, divided by 100.</w:t>
            </w:r>
          </w:p>
        </w:tc>
        <w:tc>
          <w:tcPr>
            <w:tcW w:w="1418" w:type="dxa"/>
          </w:tcPr>
          <w:p w14:paraId="227DB5D7" w14:textId="7A0A3F74" w:rsidR="000B7CBA" w:rsidRPr="00B40204" w:rsidRDefault="00E44835" w:rsidP="006D1D4E">
            <w:pPr>
              <w:jc w:val="right"/>
            </w:pPr>
            <w:r>
              <w:t>11.230</w:t>
            </w:r>
          </w:p>
        </w:tc>
      </w:tr>
      <w:tr w:rsidR="000B7CBA" w:rsidRPr="00EF29CC" w14:paraId="4FA7A239" w14:textId="77777777" w:rsidTr="006D1D4E">
        <w:tc>
          <w:tcPr>
            <w:tcW w:w="2802" w:type="dxa"/>
          </w:tcPr>
          <w:p w14:paraId="1676619A" w14:textId="77777777" w:rsidR="000B7CBA" w:rsidRPr="00B40204" w:rsidRDefault="000B7CBA" w:rsidP="006D1D4E">
            <w:r>
              <w:t>Business (ln)</w:t>
            </w:r>
          </w:p>
        </w:tc>
        <w:tc>
          <w:tcPr>
            <w:tcW w:w="4110" w:type="dxa"/>
          </w:tcPr>
          <w:p w14:paraId="568B0DA3" w14:textId="77777777" w:rsidR="000B7CBA" w:rsidRPr="00B40204" w:rsidRDefault="000B7CBA" w:rsidP="006D1D4E">
            <w:r>
              <w:t>Number of business assessments, logged.</w:t>
            </w:r>
          </w:p>
        </w:tc>
        <w:tc>
          <w:tcPr>
            <w:tcW w:w="1418" w:type="dxa"/>
          </w:tcPr>
          <w:p w14:paraId="2F970500" w14:textId="3E37A654" w:rsidR="000B7CBA" w:rsidRPr="00B40204" w:rsidRDefault="00E44835" w:rsidP="006D1D4E">
            <w:pPr>
              <w:jc w:val="right"/>
            </w:pPr>
            <w:r>
              <w:t>5.786</w:t>
            </w:r>
          </w:p>
        </w:tc>
      </w:tr>
      <w:tr w:rsidR="000B7CBA" w:rsidRPr="00EF29CC" w14:paraId="12184989" w14:textId="77777777" w:rsidTr="006D1D4E">
        <w:tc>
          <w:tcPr>
            <w:tcW w:w="2802" w:type="dxa"/>
          </w:tcPr>
          <w:p w14:paraId="6D073AA6" w14:textId="77777777" w:rsidR="000B7CBA" w:rsidRPr="00B40204" w:rsidRDefault="000B7CBA" w:rsidP="006D1D4E">
            <w:r>
              <w:t>Mine</w:t>
            </w:r>
          </w:p>
        </w:tc>
        <w:tc>
          <w:tcPr>
            <w:tcW w:w="4110" w:type="dxa"/>
          </w:tcPr>
          <w:p w14:paraId="4961D942" w14:textId="77777777" w:rsidR="000B7CBA" w:rsidRPr="00B40204" w:rsidRDefault="000B7CBA" w:rsidP="006D1D4E">
            <w:r>
              <w:t>Number of mine assessments, divided by 100.</w:t>
            </w:r>
          </w:p>
        </w:tc>
        <w:tc>
          <w:tcPr>
            <w:tcW w:w="1418" w:type="dxa"/>
          </w:tcPr>
          <w:p w14:paraId="49D882A1" w14:textId="58491617" w:rsidR="000B7CBA" w:rsidRPr="00B40204" w:rsidRDefault="00E44835" w:rsidP="006D1D4E">
            <w:pPr>
              <w:jc w:val="right"/>
            </w:pPr>
            <w:r>
              <w:t>0.020</w:t>
            </w:r>
          </w:p>
        </w:tc>
      </w:tr>
      <w:tr w:rsidR="000B7CBA" w:rsidRPr="00EF29CC" w14:paraId="0B72E8C8" w14:textId="77777777" w:rsidTr="006D1D4E">
        <w:tc>
          <w:tcPr>
            <w:tcW w:w="2802" w:type="dxa"/>
          </w:tcPr>
          <w:p w14:paraId="48C9C797" w14:textId="77777777" w:rsidR="000B7CBA" w:rsidRPr="00B40204" w:rsidRDefault="000B7CBA" w:rsidP="006D1D4E">
            <w:pPr>
              <w:rPr>
                <w:b/>
              </w:rPr>
            </w:pPr>
            <w:r>
              <w:rPr>
                <w:b/>
              </w:rPr>
              <w:t xml:space="preserve">Income </w:t>
            </w:r>
            <w:r w:rsidRPr="00B40204">
              <w:rPr>
                <w:b/>
              </w:rPr>
              <w:t>Controls</w:t>
            </w:r>
          </w:p>
        </w:tc>
        <w:tc>
          <w:tcPr>
            <w:tcW w:w="4110" w:type="dxa"/>
          </w:tcPr>
          <w:p w14:paraId="7FFAB5E2" w14:textId="77777777" w:rsidR="000B7CBA" w:rsidRPr="00B40204" w:rsidRDefault="000B7CBA" w:rsidP="006D1D4E"/>
        </w:tc>
        <w:tc>
          <w:tcPr>
            <w:tcW w:w="1418" w:type="dxa"/>
          </w:tcPr>
          <w:p w14:paraId="50208A9F" w14:textId="77777777" w:rsidR="000B7CBA" w:rsidRPr="00B40204" w:rsidRDefault="000B7CBA" w:rsidP="006D1D4E">
            <w:pPr>
              <w:jc w:val="right"/>
            </w:pPr>
          </w:p>
        </w:tc>
      </w:tr>
      <w:tr w:rsidR="000B7CBA" w:rsidRPr="00EF29CC" w14:paraId="0DF16D69" w14:textId="77777777" w:rsidTr="006D1D4E">
        <w:tc>
          <w:tcPr>
            <w:tcW w:w="2802" w:type="dxa"/>
          </w:tcPr>
          <w:p w14:paraId="5258ED2A" w14:textId="77777777" w:rsidR="000B7CBA" w:rsidRPr="00B40204" w:rsidRDefault="000B7CBA" w:rsidP="006D1D4E">
            <w:r>
              <w:t>Mean employee income</w:t>
            </w:r>
          </w:p>
        </w:tc>
        <w:tc>
          <w:tcPr>
            <w:tcW w:w="4110" w:type="dxa"/>
          </w:tcPr>
          <w:p w14:paraId="388F3A0D" w14:textId="77777777" w:rsidR="000B7CBA" w:rsidRPr="00B40204" w:rsidRDefault="000B7CBA" w:rsidP="006D1D4E">
            <w:r>
              <w:t>Mean employee income (lagged), divided by 1,000.</w:t>
            </w:r>
          </w:p>
        </w:tc>
        <w:tc>
          <w:tcPr>
            <w:tcW w:w="1418" w:type="dxa"/>
          </w:tcPr>
          <w:p w14:paraId="69B2DDBC" w14:textId="08CDBCDB" w:rsidR="000B7CBA" w:rsidRPr="00B40204" w:rsidRDefault="00E44835" w:rsidP="006D1D4E">
            <w:pPr>
              <w:jc w:val="right"/>
            </w:pPr>
            <w:r>
              <w:t>46.981</w:t>
            </w:r>
          </w:p>
        </w:tc>
      </w:tr>
      <w:tr w:rsidR="000B7CBA" w:rsidRPr="00EF29CC" w14:paraId="4CE0F759" w14:textId="77777777" w:rsidTr="006D1D4E">
        <w:tc>
          <w:tcPr>
            <w:tcW w:w="2802" w:type="dxa"/>
          </w:tcPr>
          <w:p w14:paraId="01FF0F25" w14:textId="77777777" w:rsidR="000B7CBA" w:rsidRPr="00B40204" w:rsidRDefault="000B7CBA" w:rsidP="006D1D4E">
            <w:r>
              <w:t>Mean unincorporated business income</w:t>
            </w:r>
          </w:p>
        </w:tc>
        <w:tc>
          <w:tcPr>
            <w:tcW w:w="4110" w:type="dxa"/>
          </w:tcPr>
          <w:p w14:paraId="30F4A22F" w14:textId="77777777" w:rsidR="000B7CBA" w:rsidRPr="00B40204" w:rsidRDefault="000B7CBA" w:rsidP="006D1D4E">
            <w:r>
              <w:t>Mean unincorporated business income (lagged), divided by 1,000.</w:t>
            </w:r>
          </w:p>
        </w:tc>
        <w:tc>
          <w:tcPr>
            <w:tcW w:w="1418" w:type="dxa"/>
          </w:tcPr>
          <w:p w14:paraId="33FEB134" w14:textId="0249E34E" w:rsidR="000B7CBA" w:rsidRPr="00B40204" w:rsidRDefault="00E44835" w:rsidP="006D1D4E">
            <w:pPr>
              <w:jc w:val="right"/>
            </w:pPr>
            <w:r>
              <w:t>25.155</w:t>
            </w:r>
          </w:p>
        </w:tc>
      </w:tr>
      <w:tr w:rsidR="000B7CBA" w:rsidRPr="00EF29CC" w14:paraId="733AFE0A" w14:textId="77777777" w:rsidTr="006D1D4E">
        <w:tc>
          <w:tcPr>
            <w:tcW w:w="2802" w:type="dxa"/>
          </w:tcPr>
          <w:p w14:paraId="6D7DFAE7" w14:textId="77777777" w:rsidR="000B7CBA" w:rsidRPr="00B40204" w:rsidRDefault="000B7CBA" w:rsidP="006D1D4E">
            <w:r>
              <w:t>Aged (ln)</w:t>
            </w:r>
          </w:p>
        </w:tc>
        <w:tc>
          <w:tcPr>
            <w:tcW w:w="4110" w:type="dxa"/>
          </w:tcPr>
          <w:p w14:paraId="150F6D80" w14:textId="6A5EBA6E" w:rsidR="000B7CBA" w:rsidRPr="00B40204" w:rsidRDefault="000B7CBA" w:rsidP="006D1D4E">
            <w:r>
              <w:t xml:space="preserve">Proportion of people on an </w:t>
            </w:r>
            <w:r w:rsidR="008D03A1">
              <w:t>Age</w:t>
            </w:r>
            <w:r w:rsidR="00E25A0D">
              <w:t>d</w:t>
            </w:r>
            <w:r w:rsidR="008D03A1">
              <w:t xml:space="preserve"> </w:t>
            </w:r>
            <w:r>
              <w:t>pension, logged.</w:t>
            </w:r>
          </w:p>
        </w:tc>
        <w:tc>
          <w:tcPr>
            <w:tcW w:w="1418" w:type="dxa"/>
          </w:tcPr>
          <w:p w14:paraId="0BE88B77" w14:textId="54A0329C" w:rsidR="000B7CBA" w:rsidRPr="00B40204" w:rsidRDefault="00E44835" w:rsidP="006D1D4E">
            <w:pPr>
              <w:jc w:val="right"/>
            </w:pPr>
            <w:r>
              <w:t>2.579</w:t>
            </w:r>
          </w:p>
        </w:tc>
      </w:tr>
      <w:tr w:rsidR="000B7CBA" w:rsidRPr="00EF29CC" w14:paraId="53F94FC2" w14:textId="77777777" w:rsidTr="006D1D4E">
        <w:tc>
          <w:tcPr>
            <w:tcW w:w="2802" w:type="dxa"/>
          </w:tcPr>
          <w:p w14:paraId="3930AD1C" w14:textId="77777777" w:rsidR="000B7CBA" w:rsidRPr="00B40204" w:rsidRDefault="000B7CBA" w:rsidP="006D1D4E">
            <w:r>
              <w:t>DSP (ln)</w:t>
            </w:r>
          </w:p>
        </w:tc>
        <w:tc>
          <w:tcPr>
            <w:tcW w:w="4110" w:type="dxa"/>
          </w:tcPr>
          <w:p w14:paraId="1B6DDF2B" w14:textId="77777777" w:rsidR="000B7CBA" w:rsidRPr="00B40204" w:rsidRDefault="000B7CBA" w:rsidP="006D1D4E">
            <w:r>
              <w:t>Proportion of people on a Disability Support pension, logged.</w:t>
            </w:r>
          </w:p>
        </w:tc>
        <w:tc>
          <w:tcPr>
            <w:tcW w:w="1418" w:type="dxa"/>
          </w:tcPr>
          <w:p w14:paraId="61173FD9" w14:textId="2D6D4728" w:rsidR="000B7CBA" w:rsidRPr="00B40204" w:rsidRDefault="00E44835" w:rsidP="006D1D4E">
            <w:pPr>
              <w:jc w:val="right"/>
            </w:pPr>
            <w:r>
              <w:t>1.475</w:t>
            </w:r>
          </w:p>
        </w:tc>
      </w:tr>
      <w:tr w:rsidR="000B7CBA" w:rsidRPr="00EF29CC" w14:paraId="01DD497F" w14:textId="77777777" w:rsidTr="006D1D4E">
        <w:tc>
          <w:tcPr>
            <w:tcW w:w="2802" w:type="dxa"/>
          </w:tcPr>
          <w:p w14:paraId="1E759CD8" w14:textId="77777777" w:rsidR="000B7CBA" w:rsidRPr="00B40204" w:rsidRDefault="000B7CBA" w:rsidP="006D1D4E">
            <w:r>
              <w:t>Newstart</w:t>
            </w:r>
          </w:p>
        </w:tc>
        <w:tc>
          <w:tcPr>
            <w:tcW w:w="4110" w:type="dxa"/>
          </w:tcPr>
          <w:p w14:paraId="210EDC5E" w14:textId="77777777" w:rsidR="000B7CBA" w:rsidRPr="00B40204" w:rsidRDefault="000B7CBA" w:rsidP="006D1D4E">
            <w:r>
              <w:t>Proportion of people on a Newstart allowance.</w:t>
            </w:r>
          </w:p>
        </w:tc>
        <w:tc>
          <w:tcPr>
            <w:tcW w:w="1418" w:type="dxa"/>
          </w:tcPr>
          <w:p w14:paraId="5228CA14" w14:textId="10894752" w:rsidR="000B7CBA" w:rsidRPr="00B40204" w:rsidRDefault="00E44835" w:rsidP="006D1D4E">
            <w:pPr>
              <w:jc w:val="right"/>
            </w:pPr>
            <w:r>
              <w:t>3.918</w:t>
            </w:r>
          </w:p>
        </w:tc>
      </w:tr>
      <w:tr w:rsidR="000B7CBA" w:rsidRPr="00EF29CC" w14:paraId="1DAD6BF6" w14:textId="77777777" w:rsidTr="006D1D4E">
        <w:tc>
          <w:tcPr>
            <w:tcW w:w="2802" w:type="dxa"/>
          </w:tcPr>
          <w:p w14:paraId="215933A7" w14:textId="77777777" w:rsidR="000B7CBA" w:rsidRPr="00B40204" w:rsidRDefault="000B7CBA" w:rsidP="006D1D4E">
            <w:r>
              <w:t>Carer (ln)</w:t>
            </w:r>
          </w:p>
        </w:tc>
        <w:tc>
          <w:tcPr>
            <w:tcW w:w="4110" w:type="dxa"/>
          </w:tcPr>
          <w:p w14:paraId="761F4F14" w14:textId="77777777" w:rsidR="000B7CBA" w:rsidRPr="00B40204" w:rsidRDefault="000B7CBA" w:rsidP="006D1D4E">
            <w:r>
              <w:t>Proportion of people on a Carers’ pension, logged.</w:t>
            </w:r>
          </w:p>
        </w:tc>
        <w:tc>
          <w:tcPr>
            <w:tcW w:w="1418" w:type="dxa"/>
          </w:tcPr>
          <w:p w14:paraId="2A29B910" w14:textId="78DF143C" w:rsidR="000B7CBA" w:rsidRPr="00B40204" w:rsidRDefault="00E44835" w:rsidP="006D1D4E">
            <w:pPr>
              <w:jc w:val="right"/>
            </w:pPr>
            <w:r>
              <w:t>0.370</w:t>
            </w:r>
          </w:p>
        </w:tc>
      </w:tr>
      <w:tr w:rsidR="000B7CBA" w:rsidRPr="00EF29CC" w14:paraId="345E253C" w14:textId="77777777" w:rsidTr="006D1D4E">
        <w:tc>
          <w:tcPr>
            <w:tcW w:w="2802" w:type="dxa"/>
          </w:tcPr>
          <w:p w14:paraId="21138B58" w14:textId="77777777" w:rsidR="000B7CBA" w:rsidRPr="00B40204" w:rsidRDefault="000B7CBA" w:rsidP="006D1D4E">
            <w:r>
              <w:t>Single (ln)</w:t>
            </w:r>
          </w:p>
        </w:tc>
        <w:tc>
          <w:tcPr>
            <w:tcW w:w="4110" w:type="dxa"/>
          </w:tcPr>
          <w:p w14:paraId="05D573AF" w14:textId="77777777" w:rsidR="000B7CBA" w:rsidRPr="00B40204" w:rsidRDefault="000B7CBA" w:rsidP="006D1D4E">
            <w:r>
              <w:t>Proportion of people on a Single Parent pension, logged.</w:t>
            </w:r>
          </w:p>
        </w:tc>
        <w:tc>
          <w:tcPr>
            <w:tcW w:w="1418" w:type="dxa"/>
          </w:tcPr>
          <w:p w14:paraId="68C3A357" w14:textId="07974337" w:rsidR="000B7CBA" w:rsidRPr="00B40204" w:rsidRDefault="00E44835" w:rsidP="006D1D4E">
            <w:pPr>
              <w:jc w:val="right"/>
            </w:pPr>
            <w:r>
              <w:t>0.417</w:t>
            </w:r>
          </w:p>
        </w:tc>
      </w:tr>
      <w:tr w:rsidR="000B7CBA" w:rsidRPr="00EF29CC" w14:paraId="2F84E8E8" w14:textId="77777777" w:rsidTr="006D1D4E">
        <w:tc>
          <w:tcPr>
            <w:tcW w:w="2802" w:type="dxa"/>
          </w:tcPr>
          <w:p w14:paraId="1AC74677" w14:textId="77777777" w:rsidR="000B7CBA" w:rsidRPr="00B40204" w:rsidRDefault="000B7CBA" w:rsidP="006D1D4E">
            <w:r>
              <w:t>Youth (ln)</w:t>
            </w:r>
          </w:p>
        </w:tc>
        <w:tc>
          <w:tcPr>
            <w:tcW w:w="4110" w:type="dxa"/>
          </w:tcPr>
          <w:p w14:paraId="69E70AA3" w14:textId="77777777" w:rsidR="000B7CBA" w:rsidRPr="00B40204" w:rsidRDefault="000B7CBA" w:rsidP="006D1D4E">
            <w:r>
              <w:t>Proportion of people on the Youth Allowance, logged.</w:t>
            </w:r>
          </w:p>
        </w:tc>
        <w:tc>
          <w:tcPr>
            <w:tcW w:w="1418" w:type="dxa"/>
          </w:tcPr>
          <w:p w14:paraId="5F8FED06" w14:textId="028E1346" w:rsidR="000B7CBA" w:rsidRPr="00B40204" w:rsidRDefault="00E44835" w:rsidP="006D1D4E">
            <w:pPr>
              <w:jc w:val="right"/>
            </w:pPr>
            <w:r>
              <w:t>-0.317</w:t>
            </w:r>
          </w:p>
        </w:tc>
      </w:tr>
      <w:tr w:rsidR="000B7CBA" w:rsidRPr="00EF29CC" w14:paraId="776CD901" w14:textId="77777777" w:rsidTr="006D1D4E">
        <w:tc>
          <w:tcPr>
            <w:tcW w:w="2802" w:type="dxa"/>
          </w:tcPr>
          <w:p w14:paraId="18E7CB13" w14:textId="77777777" w:rsidR="000B7CBA" w:rsidRPr="00B40204" w:rsidRDefault="000B7CBA" w:rsidP="006D1D4E">
            <w:r>
              <w:t>Dummy variable</w:t>
            </w:r>
          </w:p>
        </w:tc>
        <w:tc>
          <w:tcPr>
            <w:tcW w:w="4110" w:type="dxa"/>
          </w:tcPr>
          <w:p w14:paraId="0F6653A0" w14:textId="77777777" w:rsidR="000B7CBA" w:rsidRPr="00B40204" w:rsidRDefault="000B7CBA" w:rsidP="006D1D4E">
            <w:r>
              <w:t>A control for the three respective years analysed.</w:t>
            </w:r>
          </w:p>
        </w:tc>
        <w:tc>
          <w:tcPr>
            <w:tcW w:w="1418" w:type="dxa"/>
          </w:tcPr>
          <w:p w14:paraId="63A2CBAF" w14:textId="77777777" w:rsidR="000B7CBA" w:rsidRPr="00B40204" w:rsidRDefault="000B7CBA" w:rsidP="006D1D4E">
            <w:pPr>
              <w:jc w:val="right"/>
            </w:pPr>
          </w:p>
        </w:tc>
      </w:tr>
    </w:tbl>
    <w:p w14:paraId="25CDF2CD" w14:textId="77777777" w:rsidR="000B7CBA" w:rsidRPr="00EF29CC" w:rsidRDefault="000B7CBA" w:rsidP="00C82D71">
      <w:pPr>
        <w:spacing w:after="0" w:line="360" w:lineRule="auto"/>
        <w:rPr>
          <w:rFonts w:ascii="Times New Roman" w:hAnsi="Times New Roman" w:cs="Times New Roman"/>
          <w:sz w:val="20"/>
          <w:szCs w:val="20"/>
        </w:rPr>
      </w:pPr>
    </w:p>
    <w:p w14:paraId="4817A156" w14:textId="78960B2E" w:rsidR="002C2105" w:rsidRDefault="002C2105" w:rsidP="00C82D71">
      <w:pPr>
        <w:spacing w:line="360" w:lineRule="auto"/>
      </w:pPr>
      <w:r>
        <w:t xml:space="preserve">The data in Table 5 has been extracted from various sources. Rate data was obtained directly from Note 3(a) of the audited financial statements for the respective years. Number of assessment data is a lagged variable obtained from the Office of Local Government </w:t>
      </w:r>
      <w:r w:rsidRPr="00AB629C">
        <w:rPr>
          <w:i/>
        </w:rPr>
        <w:t>Time Series Data</w:t>
      </w:r>
      <w:r>
        <w:t xml:space="preserve">. The remaining data was obtained from the ABS (2020) </w:t>
      </w:r>
      <w:r w:rsidRPr="002C2105">
        <w:rPr>
          <w:i/>
        </w:rPr>
        <w:t>Data by Region</w:t>
      </w:r>
      <w:r>
        <w:t xml:space="preserve"> reports. Lagging certain data is a common practice in scholarly work to ensure consistency with theoretical </w:t>
      </w:r>
      <w:r>
        <w:lastRenderedPageBreak/>
        <w:t>expectations and also to deal with data availability problems. All reasonable precautions were taken to ensure that lagged data did not have a material effect on results and sensitivity analysis has been done to assure so.</w:t>
      </w:r>
    </w:p>
    <w:p w14:paraId="68E86AA0" w14:textId="7FDFD7AF" w:rsidR="000B7CBA" w:rsidRDefault="00C82D71" w:rsidP="00C82D71">
      <w:pPr>
        <w:spacing w:line="360" w:lineRule="auto"/>
      </w:pPr>
      <w:r>
        <w:t>In Table 6, which follows, I detail the coefficient and robust standard errors for the regression that I specified earlier. All four assessment types have positive coefficients as expected. Income regressors have negative coefficients which is consistent with observed disparities in revenue effort which is an artefact of the almost five decade old rate capping regime that operates in New South Wales (see Drew and Dollery, 2015; Drew, 2020). The Age</w:t>
      </w:r>
      <w:r w:rsidR="00E25A0D">
        <w:t>d</w:t>
      </w:r>
      <w:r>
        <w:t xml:space="preserve"> pension also has a negative coefficient which is consistent with the data and conclusions I drew earlier in the report. Moreover, the regression a</w:t>
      </w:r>
      <w:r w:rsidR="00AB629C">
        <w:t>s a whole has exceptionally</w:t>
      </w:r>
      <w:r>
        <w:t xml:space="preserve"> high explanatory power, as indicated by the coefficient of determination (0.8956).</w:t>
      </w:r>
      <w:r w:rsidR="00A270CB">
        <w:t xml:space="preserve"> Various specifications were tested to ensure that the model was robust.</w:t>
      </w:r>
    </w:p>
    <w:p w14:paraId="7EEB997C" w14:textId="63775702" w:rsidR="000B7CBA" w:rsidRPr="005F493C" w:rsidRDefault="005F493C" w:rsidP="000B7CBA">
      <w:pPr>
        <w:spacing w:after="0" w:line="240" w:lineRule="auto"/>
        <w:rPr>
          <w:rFonts w:cs="Arial"/>
          <w:b/>
          <w:szCs w:val="24"/>
        </w:rPr>
      </w:pPr>
      <w:r w:rsidRPr="005F493C">
        <w:rPr>
          <w:rFonts w:cs="Arial"/>
          <w:b/>
          <w:szCs w:val="24"/>
        </w:rPr>
        <w:t>Table 6.</w:t>
      </w:r>
      <w:r w:rsidR="000B7CBA" w:rsidRPr="005F493C">
        <w:rPr>
          <w:rFonts w:cs="Arial"/>
          <w:b/>
          <w:szCs w:val="24"/>
        </w:rPr>
        <w:t xml:space="preserve"> </w:t>
      </w:r>
      <w:r w:rsidRPr="005F493C">
        <w:rPr>
          <w:rFonts w:cs="Arial"/>
          <w:b/>
          <w:szCs w:val="24"/>
        </w:rPr>
        <w:t>Multiple Regression Results, All Rural Councils, 2018-2020 inclusive.</w:t>
      </w:r>
    </w:p>
    <w:tbl>
      <w:tblPr>
        <w:tblStyle w:val="TableSimple1"/>
        <w:tblW w:w="5529" w:type="dxa"/>
        <w:tblLook w:val="04A0" w:firstRow="1" w:lastRow="0" w:firstColumn="1" w:lastColumn="0" w:noHBand="0" w:noVBand="1"/>
      </w:tblPr>
      <w:tblGrid>
        <w:gridCol w:w="3261"/>
        <w:gridCol w:w="2268"/>
      </w:tblGrid>
      <w:tr w:rsidR="000B7CBA" w:rsidRPr="003D7F08" w14:paraId="47FC1D26" w14:textId="77777777" w:rsidTr="006D1D4E">
        <w:trPr>
          <w:cnfStyle w:val="100000000000" w:firstRow="1" w:lastRow="0" w:firstColumn="0" w:lastColumn="0" w:oddVBand="0" w:evenVBand="0" w:oddHBand="0" w:evenHBand="0" w:firstRowFirstColumn="0" w:firstRowLastColumn="0" w:lastRowFirstColumn="0" w:lastRowLastColumn="0"/>
        </w:trPr>
        <w:tc>
          <w:tcPr>
            <w:tcW w:w="3261" w:type="dxa"/>
          </w:tcPr>
          <w:p w14:paraId="2F6C3950" w14:textId="77777777" w:rsidR="000B7CBA" w:rsidRPr="003D7F08" w:rsidRDefault="000B7CBA" w:rsidP="006D1D4E"/>
        </w:tc>
        <w:tc>
          <w:tcPr>
            <w:tcW w:w="2268" w:type="dxa"/>
          </w:tcPr>
          <w:p w14:paraId="65DF70ED" w14:textId="59F3F9D6" w:rsidR="000B7CBA" w:rsidRPr="00661C13" w:rsidRDefault="000B7CBA" w:rsidP="00E44835">
            <w:pPr>
              <w:jc w:val="center"/>
              <w:rPr>
                <w:b/>
              </w:rPr>
            </w:pPr>
          </w:p>
        </w:tc>
      </w:tr>
      <w:tr w:rsidR="000B7CBA" w:rsidRPr="003D7F08" w14:paraId="03509A74" w14:textId="77777777" w:rsidTr="006D1D4E">
        <w:tc>
          <w:tcPr>
            <w:tcW w:w="3261" w:type="dxa"/>
          </w:tcPr>
          <w:p w14:paraId="2DF7079C" w14:textId="77777777" w:rsidR="000B7CBA" w:rsidRPr="003D7F08" w:rsidRDefault="000B7CBA" w:rsidP="006D1D4E">
            <w:r>
              <w:t>Number of residential assessments (ln)</w:t>
            </w:r>
          </w:p>
        </w:tc>
        <w:tc>
          <w:tcPr>
            <w:tcW w:w="2268" w:type="dxa"/>
          </w:tcPr>
          <w:p w14:paraId="78EBA61D" w14:textId="77777777" w:rsidR="000B7CBA" w:rsidRPr="003D7F08" w:rsidRDefault="000B7CBA" w:rsidP="006D1D4E">
            <w:pPr>
              <w:jc w:val="right"/>
            </w:pPr>
            <w:r>
              <w:t>0.8299**</w:t>
            </w:r>
            <w:r>
              <w:br/>
              <w:t>(0.0652)</w:t>
            </w:r>
          </w:p>
        </w:tc>
      </w:tr>
      <w:tr w:rsidR="000B7CBA" w:rsidRPr="003D7F08" w14:paraId="042E44EF" w14:textId="77777777" w:rsidTr="006D1D4E">
        <w:tc>
          <w:tcPr>
            <w:tcW w:w="3261" w:type="dxa"/>
          </w:tcPr>
          <w:p w14:paraId="4642079E" w14:textId="77777777" w:rsidR="000B7CBA" w:rsidRPr="003D7F08" w:rsidRDefault="000B7CBA" w:rsidP="006D1D4E">
            <w:r>
              <w:t>Number of farm assessments</w:t>
            </w:r>
          </w:p>
        </w:tc>
        <w:tc>
          <w:tcPr>
            <w:tcW w:w="2268" w:type="dxa"/>
          </w:tcPr>
          <w:p w14:paraId="6E2B0A12" w14:textId="77777777" w:rsidR="000B7CBA" w:rsidRPr="003D7F08" w:rsidRDefault="000B7CBA" w:rsidP="006D1D4E">
            <w:pPr>
              <w:jc w:val="right"/>
            </w:pPr>
            <w:r>
              <w:t>0.0115**</w:t>
            </w:r>
            <w:r>
              <w:br/>
              <w:t>(0.0029)</w:t>
            </w:r>
          </w:p>
        </w:tc>
      </w:tr>
      <w:tr w:rsidR="000B7CBA" w:rsidRPr="003D7F08" w14:paraId="25FD38AE" w14:textId="77777777" w:rsidTr="006D1D4E">
        <w:tc>
          <w:tcPr>
            <w:tcW w:w="3261" w:type="dxa"/>
          </w:tcPr>
          <w:p w14:paraId="7E1749FB" w14:textId="77777777" w:rsidR="000B7CBA" w:rsidRPr="003D7F08" w:rsidRDefault="000B7CBA" w:rsidP="006D1D4E">
            <w:r>
              <w:t>Number of business assessments (ln)</w:t>
            </w:r>
          </w:p>
        </w:tc>
        <w:tc>
          <w:tcPr>
            <w:tcW w:w="2268" w:type="dxa"/>
          </w:tcPr>
          <w:p w14:paraId="5E7E151F" w14:textId="77777777" w:rsidR="000B7CBA" w:rsidRPr="003D7F08" w:rsidRDefault="000B7CBA" w:rsidP="006D1D4E">
            <w:pPr>
              <w:jc w:val="right"/>
            </w:pPr>
            <w:r>
              <w:t>0.0848</w:t>
            </w:r>
            <w:r>
              <w:br/>
              <w:t>(0.0610)</w:t>
            </w:r>
          </w:p>
        </w:tc>
      </w:tr>
      <w:tr w:rsidR="000B7CBA" w:rsidRPr="003D7F08" w14:paraId="3C67EEB1" w14:textId="77777777" w:rsidTr="006D1D4E">
        <w:tc>
          <w:tcPr>
            <w:tcW w:w="3261" w:type="dxa"/>
          </w:tcPr>
          <w:p w14:paraId="7E742CB2" w14:textId="77777777" w:rsidR="000B7CBA" w:rsidRPr="003D7F08" w:rsidRDefault="000B7CBA" w:rsidP="006D1D4E">
            <w:r>
              <w:t>Number of mine assessments</w:t>
            </w:r>
          </w:p>
        </w:tc>
        <w:tc>
          <w:tcPr>
            <w:tcW w:w="2268" w:type="dxa"/>
          </w:tcPr>
          <w:p w14:paraId="49E39F6D" w14:textId="77777777" w:rsidR="000B7CBA" w:rsidRPr="003D7F08" w:rsidRDefault="000B7CBA" w:rsidP="006D1D4E">
            <w:pPr>
              <w:jc w:val="right"/>
            </w:pPr>
            <w:r>
              <w:t>0.6199</w:t>
            </w:r>
            <w:r>
              <w:br/>
              <w:t>(0.3715)</w:t>
            </w:r>
          </w:p>
        </w:tc>
      </w:tr>
      <w:tr w:rsidR="000B7CBA" w:rsidRPr="003D7F08" w14:paraId="2704CDBA" w14:textId="77777777" w:rsidTr="006D1D4E">
        <w:tc>
          <w:tcPr>
            <w:tcW w:w="3261" w:type="dxa"/>
          </w:tcPr>
          <w:p w14:paraId="7A3CCAD3" w14:textId="77777777" w:rsidR="000B7CBA" w:rsidRPr="003D7F08" w:rsidRDefault="000B7CBA" w:rsidP="006D1D4E">
            <w:r>
              <w:t>Mean employee income</w:t>
            </w:r>
          </w:p>
        </w:tc>
        <w:tc>
          <w:tcPr>
            <w:tcW w:w="2268" w:type="dxa"/>
          </w:tcPr>
          <w:p w14:paraId="093DE848" w14:textId="77777777" w:rsidR="000B7CBA" w:rsidRPr="003D7F08" w:rsidRDefault="000B7CBA" w:rsidP="006D1D4E">
            <w:pPr>
              <w:jc w:val="right"/>
            </w:pPr>
            <w:r>
              <w:t>-0.0183**</w:t>
            </w:r>
            <w:r>
              <w:br/>
              <w:t>(0.0048)</w:t>
            </w:r>
          </w:p>
        </w:tc>
      </w:tr>
      <w:tr w:rsidR="000B7CBA" w:rsidRPr="003D7F08" w14:paraId="34637DBD" w14:textId="77777777" w:rsidTr="006D1D4E">
        <w:tc>
          <w:tcPr>
            <w:tcW w:w="3261" w:type="dxa"/>
          </w:tcPr>
          <w:p w14:paraId="7E551B8D" w14:textId="77777777" w:rsidR="000B7CBA" w:rsidRPr="003D7F08" w:rsidRDefault="000B7CBA" w:rsidP="006D1D4E">
            <w:r>
              <w:t>Mean unincorporated income</w:t>
            </w:r>
          </w:p>
        </w:tc>
        <w:tc>
          <w:tcPr>
            <w:tcW w:w="2268" w:type="dxa"/>
          </w:tcPr>
          <w:p w14:paraId="220EFF43" w14:textId="77777777" w:rsidR="000B7CBA" w:rsidRPr="003D7F08" w:rsidRDefault="000B7CBA" w:rsidP="006D1D4E">
            <w:pPr>
              <w:jc w:val="right"/>
            </w:pPr>
            <w:r>
              <w:t>-0.0038**</w:t>
            </w:r>
            <w:r>
              <w:br/>
              <w:t>(0.0019)</w:t>
            </w:r>
          </w:p>
        </w:tc>
      </w:tr>
      <w:tr w:rsidR="000B7CBA" w:rsidRPr="003D7F08" w14:paraId="111555F4" w14:textId="77777777" w:rsidTr="006D1D4E">
        <w:tc>
          <w:tcPr>
            <w:tcW w:w="3261" w:type="dxa"/>
          </w:tcPr>
          <w:p w14:paraId="67DB91AD" w14:textId="28C8C311" w:rsidR="000B7CBA" w:rsidRPr="003D7F08" w:rsidRDefault="000B7CBA" w:rsidP="006D1D4E">
            <w:r>
              <w:t>Age pensions (ln)</w:t>
            </w:r>
          </w:p>
        </w:tc>
        <w:tc>
          <w:tcPr>
            <w:tcW w:w="2268" w:type="dxa"/>
          </w:tcPr>
          <w:p w14:paraId="6D7087C4" w14:textId="77777777" w:rsidR="000B7CBA" w:rsidRPr="003D7F08" w:rsidRDefault="000B7CBA" w:rsidP="006D1D4E">
            <w:pPr>
              <w:jc w:val="right"/>
            </w:pPr>
            <w:r>
              <w:t>-0.2386*</w:t>
            </w:r>
            <w:r>
              <w:br/>
              <w:t>(0.1268)</w:t>
            </w:r>
          </w:p>
        </w:tc>
      </w:tr>
      <w:tr w:rsidR="000B7CBA" w:rsidRPr="003D7F08" w14:paraId="529CDC35" w14:textId="77777777" w:rsidTr="006D1D4E">
        <w:tc>
          <w:tcPr>
            <w:tcW w:w="3261" w:type="dxa"/>
          </w:tcPr>
          <w:p w14:paraId="7A8F2CE8" w14:textId="77777777" w:rsidR="000B7CBA" w:rsidRDefault="000B7CBA" w:rsidP="006D1D4E">
            <w:r>
              <w:t>2019</w:t>
            </w:r>
          </w:p>
        </w:tc>
        <w:tc>
          <w:tcPr>
            <w:tcW w:w="2268" w:type="dxa"/>
          </w:tcPr>
          <w:p w14:paraId="61BAB41E" w14:textId="77777777" w:rsidR="000B7CBA" w:rsidRDefault="000B7CBA" w:rsidP="006D1D4E">
            <w:pPr>
              <w:jc w:val="right"/>
            </w:pPr>
            <w:r>
              <w:t>0.1243**</w:t>
            </w:r>
            <w:r>
              <w:br/>
              <w:t>(0.0400)</w:t>
            </w:r>
          </w:p>
        </w:tc>
      </w:tr>
      <w:tr w:rsidR="000B7CBA" w:rsidRPr="003D7F08" w14:paraId="3BAB2874" w14:textId="77777777" w:rsidTr="006D1D4E">
        <w:tc>
          <w:tcPr>
            <w:tcW w:w="3261" w:type="dxa"/>
          </w:tcPr>
          <w:p w14:paraId="66B8BA03" w14:textId="77777777" w:rsidR="000B7CBA" w:rsidRDefault="000B7CBA" w:rsidP="006D1D4E">
            <w:r>
              <w:t>2020</w:t>
            </w:r>
          </w:p>
        </w:tc>
        <w:tc>
          <w:tcPr>
            <w:tcW w:w="2268" w:type="dxa"/>
          </w:tcPr>
          <w:p w14:paraId="57C50059" w14:textId="77777777" w:rsidR="000B7CBA" w:rsidRDefault="000B7CBA" w:rsidP="006D1D4E">
            <w:pPr>
              <w:jc w:val="right"/>
            </w:pPr>
            <w:r>
              <w:t>0.2014**</w:t>
            </w:r>
            <w:r>
              <w:br/>
              <w:t>(0.0394)</w:t>
            </w:r>
          </w:p>
        </w:tc>
      </w:tr>
      <w:tr w:rsidR="000B7CBA" w:rsidRPr="003D7F08" w14:paraId="2EB74793" w14:textId="77777777" w:rsidTr="006D1D4E">
        <w:tc>
          <w:tcPr>
            <w:tcW w:w="3261" w:type="dxa"/>
          </w:tcPr>
          <w:p w14:paraId="303BC6FA" w14:textId="77777777" w:rsidR="000B7CBA" w:rsidRPr="003D7F08" w:rsidRDefault="000B7CBA" w:rsidP="006D1D4E">
            <w:r>
              <w:t>Other welfare receipts</w:t>
            </w:r>
          </w:p>
        </w:tc>
        <w:tc>
          <w:tcPr>
            <w:tcW w:w="2268" w:type="dxa"/>
          </w:tcPr>
          <w:p w14:paraId="004D40B0" w14:textId="77777777" w:rsidR="000B7CBA" w:rsidRPr="003D7F08" w:rsidRDefault="000B7CBA" w:rsidP="006D1D4E">
            <w:pPr>
              <w:jc w:val="right"/>
            </w:pPr>
            <w:r>
              <w:t>Yes**</w:t>
            </w:r>
          </w:p>
        </w:tc>
      </w:tr>
      <w:tr w:rsidR="000B7CBA" w:rsidRPr="003D7F08" w14:paraId="2A5913CE" w14:textId="77777777" w:rsidTr="006D1D4E">
        <w:tc>
          <w:tcPr>
            <w:tcW w:w="3261" w:type="dxa"/>
          </w:tcPr>
          <w:p w14:paraId="4841AF9D" w14:textId="77777777" w:rsidR="000B7CBA" w:rsidRPr="003D7F08" w:rsidRDefault="000B7CBA" w:rsidP="006D1D4E">
            <w:r>
              <w:t>n</w:t>
            </w:r>
          </w:p>
        </w:tc>
        <w:tc>
          <w:tcPr>
            <w:tcW w:w="2268" w:type="dxa"/>
          </w:tcPr>
          <w:p w14:paraId="1AFB00C4" w14:textId="1005EDF0" w:rsidR="000B7CBA" w:rsidRPr="003D7F08" w:rsidRDefault="000B7CBA" w:rsidP="006D1D4E">
            <w:pPr>
              <w:jc w:val="right"/>
            </w:pPr>
            <w:r>
              <w:t>171</w:t>
            </w:r>
            <w:r w:rsidR="00A270CB">
              <w:rPr>
                <w:rStyle w:val="FootnoteReference"/>
              </w:rPr>
              <w:footnoteReference w:id="6"/>
            </w:r>
          </w:p>
        </w:tc>
      </w:tr>
      <w:tr w:rsidR="000B7CBA" w:rsidRPr="003D7F08" w14:paraId="7F653C09" w14:textId="77777777" w:rsidTr="006D1D4E">
        <w:tc>
          <w:tcPr>
            <w:tcW w:w="3261" w:type="dxa"/>
          </w:tcPr>
          <w:p w14:paraId="36598CF2" w14:textId="77777777" w:rsidR="000B7CBA" w:rsidRPr="003D7F08" w:rsidRDefault="000B7CBA" w:rsidP="006D1D4E">
            <w:r>
              <w:t>Coefficient of Determination</w:t>
            </w:r>
          </w:p>
        </w:tc>
        <w:tc>
          <w:tcPr>
            <w:tcW w:w="2268" w:type="dxa"/>
          </w:tcPr>
          <w:p w14:paraId="2480E1DA" w14:textId="77777777" w:rsidR="000B7CBA" w:rsidRPr="003D7F08" w:rsidRDefault="000B7CBA" w:rsidP="006D1D4E">
            <w:pPr>
              <w:jc w:val="right"/>
            </w:pPr>
            <w:r>
              <w:t>0.8956</w:t>
            </w:r>
          </w:p>
        </w:tc>
      </w:tr>
    </w:tbl>
    <w:p w14:paraId="69BD2F49" w14:textId="77777777" w:rsidR="000B7CBA" w:rsidRPr="003D7F08" w:rsidRDefault="000B7CBA" w:rsidP="000B7CBA">
      <w:pPr>
        <w:widowControl w:val="0"/>
        <w:autoSpaceDE w:val="0"/>
        <w:autoSpaceDN w:val="0"/>
        <w:adjustRightInd w:val="0"/>
        <w:spacing w:after="0" w:line="240" w:lineRule="auto"/>
        <w:rPr>
          <w:rFonts w:ascii="Times New Roman" w:hAnsi="Times New Roman" w:cs="Times New Roman"/>
          <w:sz w:val="20"/>
          <w:szCs w:val="20"/>
        </w:rPr>
      </w:pPr>
      <w:r w:rsidRPr="003D7F08">
        <w:rPr>
          <w:rFonts w:ascii="Times New Roman" w:hAnsi="Times New Roman" w:cs="Times New Roman"/>
          <w:sz w:val="20"/>
          <w:szCs w:val="20"/>
        </w:rPr>
        <w:lastRenderedPageBreak/>
        <w:t>Standard errors in parentheses</w:t>
      </w:r>
      <w:r>
        <w:rPr>
          <w:rFonts w:ascii="Times New Roman" w:hAnsi="Times New Roman" w:cs="Times New Roman"/>
          <w:sz w:val="20"/>
          <w:szCs w:val="20"/>
        </w:rPr>
        <w:t>.</w:t>
      </w:r>
    </w:p>
    <w:p w14:paraId="19CBF3D7" w14:textId="77777777" w:rsidR="000B7CBA" w:rsidRDefault="000B7CBA" w:rsidP="000B7CBA">
      <w:pPr>
        <w:widowControl w:val="0"/>
        <w:autoSpaceDE w:val="0"/>
        <w:autoSpaceDN w:val="0"/>
        <w:adjustRightInd w:val="0"/>
        <w:spacing w:after="0" w:line="240" w:lineRule="auto"/>
        <w:rPr>
          <w:rFonts w:ascii="Times New Roman" w:hAnsi="Times New Roman" w:cs="Times New Roman"/>
          <w:sz w:val="20"/>
          <w:szCs w:val="20"/>
        </w:rPr>
      </w:pPr>
      <w:r w:rsidRPr="003D7F08">
        <w:rPr>
          <w:rFonts w:ascii="Times New Roman" w:hAnsi="Times New Roman" w:cs="Times New Roman"/>
          <w:sz w:val="20"/>
          <w:szCs w:val="20"/>
        </w:rPr>
        <w:t>+ p&lt;0.10, * p&lt;0.05, ** p&lt;0.01</w:t>
      </w:r>
    </w:p>
    <w:p w14:paraId="477A5D4F" w14:textId="77777777" w:rsidR="000B7CBA" w:rsidRDefault="000B7CBA" w:rsidP="000B7CBA"/>
    <w:p w14:paraId="3C5A6B3A" w14:textId="0B5FB0EE" w:rsidR="000B7CBA" w:rsidRDefault="00C82D71" w:rsidP="00A270CB">
      <w:pPr>
        <w:spacing w:line="360" w:lineRule="auto"/>
      </w:pPr>
      <w:r>
        <w:t>T</w:t>
      </w:r>
      <w:r w:rsidR="00A270CB">
        <w:t>o get the full benefit of</w:t>
      </w:r>
      <w:r w:rsidR="00AB629C">
        <w:t xml:space="preserve"> this </w:t>
      </w:r>
      <w:r w:rsidR="00A270CB">
        <w:t>exercise one need</w:t>
      </w:r>
      <w:r w:rsidR="00AB629C">
        <w:t>s to</w:t>
      </w:r>
      <w:r w:rsidR="00A270CB">
        <w:t xml:space="preserve"> use the </w:t>
      </w:r>
      <w:r w:rsidR="00AB629C">
        <w:t xml:space="preserve">derived regression </w:t>
      </w:r>
      <w:r w:rsidR="00A270CB">
        <w:t xml:space="preserve">coefficients to predict the mean revenue expected to be yielded by Cootamundra-Gundagai </w:t>
      </w:r>
      <w:r w:rsidR="00AB629C">
        <w:t>(</w:t>
      </w:r>
      <w:r w:rsidR="00A270CB">
        <w:t xml:space="preserve">given the </w:t>
      </w:r>
      <w:r w:rsidR="00AB629C">
        <w:t>values of variables specified)</w:t>
      </w:r>
      <w:r w:rsidR="00A270CB">
        <w:t>. I used standard econometric software (STATA) to do so and present the results in Table 7.</w:t>
      </w:r>
    </w:p>
    <w:p w14:paraId="73D06D81" w14:textId="07C258F9" w:rsidR="000B7CBA" w:rsidRPr="00E42727" w:rsidRDefault="005F493C" w:rsidP="000B7CBA">
      <w:pPr>
        <w:rPr>
          <w:b/>
        </w:rPr>
      </w:pPr>
      <w:r>
        <w:rPr>
          <w:b/>
        </w:rPr>
        <w:t>Table. 7.</w:t>
      </w:r>
      <w:r w:rsidR="000B7CBA" w:rsidRPr="00E42727">
        <w:rPr>
          <w:b/>
        </w:rPr>
        <w:t xml:space="preserve"> Predicted Rate Capacity, Cootamundra-Gundagai</w:t>
      </w:r>
      <w:r w:rsidR="00622EC9">
        <w:rPr>
          <w:b/>
        </w:rPr>
        <w:t xml:space="preserve"> ($’000)</w:t>
      </w:r>
    </w:p>
    <w:tbl>
      <w:tblPr>
        <w:tblStyle w:val="TableGrid"/>
        <w:tblW w:w="0" w:type="auto"/>
        <w:tblLook w:val="04A0" w:firstRow="1" w:lastRow="0" w:firstColumn="1" w:lastColumn="0" w:noHBand="0" w:noVBand="1"/>
      </w:tblPr>
      <w:tblGrid>
        <w:gridCol w:w="2982"/>
        <w:gridCol w:w="2756"/>
        <w:gridCol w:w="2756"/>
      </w:tblGrid>
      <w:tr w:rsidR="000B7CBA" w:rsidRPr="00E42727" w14:paraId="2C6CBA6A" w14:textId="77777777" w:rsidTr="006D1D4E">
        <w:tc>
          <w:tcPr>
            <w:tcW w:w="2982" w:type="dxa"/>
          </w:tcPr>
          <w:p w14:paraId="1E05DB1C" w14:textId="77777777" w:rsidR="000B7CBA" w:rsidRPr="00E42727" w:rsidRDefault="000B7CBA" w:rsidP="006D1D4E">
            <w:pPr>
              <w:rPr>
                <w:b/>
              </w:rPr>
            </w:pPr>
            <w:r w:rsidRPr="00E42727">
              <w:rPr>
                <w:b/>
              </w:rPr>
              <w:t>Financial Year</w:t>
            </w:r>
          </w:p>
        </w:tc>
        <w:tc>
          <w:tcPr>
            <w:tcW w:w="2756" w:type="dxa"/>
          </w:tcPr>
          <w:p w14:paraId="61B394B7" w14:textId="77777777" w:rsidR="000B7CBA" w:rsidRPr="00E42727" w:rsidRDefault="000B7CBA" w:rsidP="006D1D4E">
            <w:pPr>
              <w:rPr>
                <w:b/>
              </w:rPr>
            </w:pPr>
            <w:r w:rsidRPr="00E42727">
              <w:rPr>
                <w:b/>
              </w:rPr>
              <w:t>Predicted Rate Capacity</w:t>
            </w:r>
          </w:p>
        </w:tc>
        <w:tc>
          <w:tcPr>
            <w:tcW w:w="2756" w:type="dxa"/>
          </w:tcPr>
          <w:p w14:paraId="415D1EA0" w14:textId="77777777" w:rsidR="000B7CBA" w:rsidRPr="00E42727" w:rsidRDefault="000B7CBA" w:rsidP="006D1D4E">
            <w:pPr>
              <w:rPr>
                <w:b/>
              </w:rPr>
            </w:pPr>
            <w:r w:rsidRPr="00E42727">
              <w:rPr>
                <w:b/>
              </w:rPr>
              <w:t>Actual Rate Take</w:t>
            </w:r>
          </w:p>
        </w:tc>
      </w:tr>
      <w:tr w:rsidR="000B7CBA" w14:paraId="2E0F8E91" w14:textId="77777777" w:rsidTr="006D1D4E">
        <w:tc>
          <w:tcPr>
            <w:tcW w:w="2982" w:type="dxa"/>
          </w:tcPr>
          <w:p w14:paraId="623849A0" w14:textId="77777777" w:rsidR="000B7CBA" w:rsidRDefault="000B7CBA" w:rsidP="006D1D4E">
            <w:r>
              <w:t>2018-19</w:t>
            </w:r>
          </w:p>
        </w:tc>
        <w:tc>
          <w:tcPr>
            <w:tcW w:w="2756" w:type="dxa"/>
          </w:tcPr>
          <w:p w14:paraId="246D6627" w14:textId="77777777" w:rsidR="000B7CBA" w:rsidRDefault="000B7CBA" w:rsidP="006D1D4E">
            <w:r>
              <w:t>11,381.5</w:t>
            </w:r>
          </w:p>
        </w:tc>
        <w:tc>
          <w:tcPr>
            <w:tcW w:w="2756" w:type="dxa"/>
          </w:tcPr>
          <w:p w14:paraId="13F4B6A5" w14:textId="77777777" w:rsidR="000B7CBA" w:rsidRDefault="000B7CBA" w:rsidP="006D1D4E">
            <w:r>
              <w:t>6,797</w:t>
            </w:r>
          </w:p>
        </w:tc>
      </w:tr>
      <w:tr w:rsidR="000B7CBA" w14:paraId="3D60838D" w14:textId="77777777" w:rsidTr="006D1D4E">
        <w:tc>
          <w:tcPr>
            <w:tcW w:w="2982" w:type="dxa"/>
          </w:tcPr>
          <w:p w14:paraId="25DD141D" w14:textId="77777777" w:rsidR="000B7CBA" w:rsidRDefault="000B7CBA" w:rsidP="006D1D4E">
            <w:r>
              <w:t>2019-20</w:t>
            </w:r>
          </w:p>
        </w:tc>
        <w:tc>
          <w:tcPr>
            <w:tcW w:w="2756" w:type="dxa"/>
          </w:tcPr>
          <w:p w14:paraId="2D59624B" w14:textId="77777777" w:rsidR="000B7CBA" w:rsidRDefault="000B7CBA" w:rsidP="006D1D4E">
            <w:r>
              <w:t>11,847.15</w:t>
            </w:r>
          </w:p>
        </w:tc>
        <w:tc>
          <w:tcPr>
            <w:tcW w:w="2756" w:type="dxa"/>
          </w:tcPr>
          <w:p w14:paraId="591CB534" w14:textId="77777777" w:rsidR="000B7CBA" w:rsidRDefault="000B7CBA" w:rsidP="006D1D4E">
            <w:r>
              <w:t>6,993</w:t>
            </w:r>
          </w:p>
        </w:tc>
      </w:tr>
      <w:tr w:rsidR="000B7CBA" w14:paraId="6FE46E39" w14:textId="77777777" w:rsidTr="006D1D4E">
        <w:tc>
          <w:tcPr>
            <w:tcW w:w="2982" w:type="dxa"/>
          </w:tcPr>
          <w:p w14:paraId="3AA39522" w14:textId="77777777" w:rsidR="000B7CBA" w:rsidRDefault="000B7CBA" w:rsidP="006D1D4E">
            <w:r>
              <w:t>2020-21</w:t>
            </w:r>
          </w:p>
        </w:tc>
        <w:tc>
          <w:tcPr>
            <w:tcW w:w="2756" w:type="dxa"/>
          </w:tcPr>
          <w:p w14:paraId="309D1C2F" w14:textId="77777777" w:rsidR="000B7CBA" w:rsidRDefault="000B7CBA" w:rsidP="006D1D4E">
            <w:r>
              <w:t>13,265.9</w:t>
            </w:r>
          </w:p>
        </w:tc>
        <w:tc>
          <w:tcPr>
            <w:tcW w:w="2756" w:type="dxa"/>
          </w:tcPr>
          <w:p w14:paraId="164F00F5" w14:textId="77777777" w:rsidR="000B7CBA" w:rsidRDefault="000B7CBA" w:rsidP="006D1D4E">
            <w:r>
              <w:t>7,653.6</w:t>
            </w:r>
            <w:r>
              <w:rPr>
                <w:rStyle w:val="FootnoteReference"/>
              </w:rPr>
              <w:footnoteReference w:id="7"/>
            </w:r>
          </w:p>
        </w:tc>
      </w:tr>
    </w:tbl>
    <w:p w14:paraId="29657BE4" w14:textId="2CB22FDC" w:rsidR="000B7CBA" w:rsidRDefault="000B7CBA" w:rsidP="000B7CBA"/>
    <w:p w14:paraId="4AE2E00A" w14:textId="541D5FF0" w:rsidR="00A270CB" w:rsidRDefault="00A270CB" w:rsidP="006E721D">
      <w:pPr>
        <w:spacing w:line="360" w:lineRule="auto"/>
      </w:pPr>
      <w:r>
        <w:t>As can be seen</w:t>
      </w:r>
      <w:r w:rsidR="002C2105">
        <w:t>,</w:t>
      </w:r>
      <w:r>
        <w:t xml:space="preserve"> robust econometric modelling indi</w:t>
      </w:r>
      <w:r w:rsidR="002C2105">
        <w:t>cates</w:t>
      </w:r>
      <w:r>
        <w:t xml:space="preserve"> that average taxation take expected of a council with Cootamundra-Gundagai’s profile stands at almost twice</w:t>
      </w:r>
      <w:r w:rsidR="00622EC9">
        <w:t xml:space="preserve"> </w:t>
      </w:r>
      <w:r>
        <w:t xml:space="preserve">the 2020-21 </w:t>
      </w:r>
      <w:r w:rsidR="00622EC9">
        <w:t>financial year levels</w:t>
      </w:r>
      <w:r>
        <w:t>. This</w:t>
      </w:r>
      <w:r w:rsidR="00622EC9">
        <w:t xml:space="preserve"> result</w:t>
      </w:r>
      <w:r>
        <w:t xml:space="preserve"> is consistent with our earlier more rudimentary analysis that showed average rates levels for CGRC were much lower than its peers, that relatively low flows of personal incomes were mitigated in large part by low household stress (arising from relatively low property prices), and that unincorporated business incomes were far higher than most of the peer group. I emphasise here that the econometric evidence is far more robust t</w:t>
      </w:r>
      <w:r w:rsidR="002C2105">
        <w:t>han the</w:t>
      </w:r>
      <w:r>
        <w:t xml:space="preserve"> individual metrics examined earlier because it employs a far larger comparator group (all rural NSW local governments)</w:t>
      </w:r>
      <w:r w:rsidR="006E721D">
        <w:t xml:space="preserve"> </w:t>
      </w:r>
      <w:r w:rsidR="00622EC9">
        <w:t>as well as</w:t>
      </w:r>
      <w:r w:rsidR="006E721D">
        <w:t xml:space="preserve"> much more sophisticated </w:t>
      </w:r>
      <w:r w:rsidR="00622EC9">
        <w:t xml:space="preserve">multi-variate </w:t>
      </w:r>
      <w:r w:rsidR="006E721D">
        <w:t xml:space="preserve">statistical reasoning (see Kennedy (2003) for a thorough explanation of the assumptions and sophistication embodied in econometric analyses). </w:t>
      </w:r>
    </w:p>
    <w:p w14:paraId="5F97AD56" w14:textId="28DC377A" w:rsidR="00A270CB" w:rsidRDefault="00622EC9" w:rsidP="00622EC9">
      <w:pPr>
        <w:spacing w:line="360" w:lineRule="auto"/>
      </w:pPr>
      <w:r>
        <w:t>In other documents the expected outcomes from the proposed special rate variation have been outlined in considerable detail. Below I present a copy of the total t</w:t>
      </w:r>
      <w:r w:rsidR="002C2105">
        <w:t>ax-</w:t>
      </w:r>
      <w:r>
        <w:t xml:space="preserve">take expected for Cootamundra-Gundagai should the proposed </w:t>
      </w:r>
      <w:r>
        <w:lastRenderedPageBreak/>
        <w:t>special rate variation be approved. As can be seen, even in five years hence</w:t>
      </w:r>
      <w:r w:rsidR="002C2105">
        <w:t>, a</w:t>
      </w:r>
      <w:r w:rsidR="00AB629C">
        <w:t xml:space="preserve">nd </w:t>
      </w:r>
      <w:r w:rsidR="00AB629C" w:rsidRPr="00AB629C">
        <w:rPr>
          <w:i/>
        </w:rPr>
        <w:t>after</w:t>
      </w:r>
      <w:r>
        <w:t xml:space="preserve"> the cumulative effect of </w:t>
      </w:r>
      <w:r w:rsidR="002C2105">
        <w:t xml:space="preserve">a </w:t>
      </w:r>
      <w:r>
        <w:t>62.6% in</w:t>
      </w:r>
      <w:r w:rsidR="00AB629C">
        <w:t>crease</w:t>
      </w:r>
      <w:r>
        <w:t xml:space="preserve"> (including the assumed rate peg), th</w:t>
      </w:r>
      <w:r w:rsidR="002C2105">
        <w:t>e total tax-</w:t>
      </w:r>
      <w:r>
        <w:t xml:space="preserve">take would </w:t>
      </w:r>
      <w:r w:rsidR="002C2105">
        <w:t xml:space="preserve">still </w:t>
      </w:r>
      <w:r>
        <w:t>be considerably less than the predicted capacity as at 2020-21</w:t>
      </w:r>
      <w:r w:rsidR="002C2105">
        <w:t xml:space="preserve"> (</w:t>
      </w:r>
      <w:r>
        <w:t>detailed in Table 7</w:t>
      </w:r>
      <w:r w:rsidR="002C2105">
        <w:t>)</w:t>
      </w:r>
      <w:r>
        <w:t>.</w:t>
      </w:r>
    </w:p>
    <w:p w14:paraId="3ACCC872" w14:textId="283A306E" w:rsidR="000B7CBA" w:rsidRPr="00603840" w:rsidRDefault="005F493C" w:rsidP="000B7CBA">
      <w:pPr>
        <w:rPr>
          <w:rFonts w:eastAsia="Calibri" w:cs="Arial"/>
          <w:b/>
          <w:sz w:val="22"/>
          <w:lang w:val="en-US"/>
        </w:rPr>
      </w:pPr>
      <w:r>
        <w:rPr>
          <w:rFonts w:eastAsia="Calibri" w:cs="Arial"/>
          <w:b/>
          <w:sz w:val="22"/>
          <w:lang w:val="en-US"/>
        </w:rPr>
        <w:t>Table 8</w:t>
      </w:r>
      <w:r w:rsidR="000B7CBA" w:rsidRPr="00603840">
        <w:rPr>
          <w:rFonts w:eastAsia="Calibri" w:cs="Arial"/>
          <w:b/>
          <w:sz w:val="22"/>
          <w:lang w:val="en-US"/>
        </w:rPr>
        <w:t>. Impact on Total Rate Revenue of an Expiring Special Rate Variation and a s508A Special Variation of 19%, 18%, 5%, 5%, 5%</w:t>
      </w:r>
      <w:r w:rsidR="00622EC9">
        <w:rPr>
          <w:rFonts w:eastAsia="Calibri" w:cs="Arial"/>
          <w:b/>
          <w:sz w:val="22"/>
          <w:lang w:val="en-US"/>
        </w:rPr>
        <w:t xml:space="preserve"> ($’000)</w:t>
      </w:r>
    </w:p>
    <w:p w14:paraId="5D3293E1" w14:textId="77777777" w:rsidR="000B7CBA" w:rsidRPr="00603840" w:rsidRDefault="000B7CBA" w:rsidP="000B7CBA">
      <w:pPr>
        <w:rPr>
          <w:rFonts w:eastAsia="Calibri" w:cs="Arial"/>
          <w:sz w:val="22"/>
          <w:lang w:val="en-US"/>
        </w:rPr>
      </w:pPr>
      <w:r w:rsidRPr="00603840">
        <w:rPr>
          <w:rFonts w:eastAsia="Calibri" w:cs="Arial"/>
          <w:noProof/>
          <w:sz w:val="22"/>
          <w:lang w:eastAsia="en-AU"/>
        </w:rPr>
        <w:drawing>
          <wp:inline distT="0" distB="0" distL="0" distR="0" wp14:anchorId="7860101A" wp14:editId="1856AED5">
            <wp:extent cx="5943600" cy="236492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2364928"/>
                    </a:xfrm>
                    <a:prstGeom prst="rect">
                      <a:avLst/>
                    </a:prstGeom>
                    <a:noFill/>
                    <a:ln>
                      <a:noFill/>
                    </a:ln>
                  </pic:spPr>
                </pic:pic>
              </a:graphicData>
            </a:graphic>
          </wp:inline>
        </w:drawing>
      </w:r>
    </w:p>
    <w:p w14:paraId="354EA4FB" w14:textId="1808A3D1" w:rsidR="000B7CBA" w:rsidRDefault="00622EC9" w:rsidP="00065E48">
      <w:pPr>
        <w:spacing w:line="360" w:lineRule="auto"/>
      </w:pPr>
      <w:r>
        <w:t>Thus, by using the most sophisticated and robust tools available I have demonstrated that the proposed SRV is well below the aver</w:t>
      </w:r>
      <w:r w:rsidR="002C2105">
        <w:t>age tax-</w:t>
      </w:r>
      <w:r>
        <w:t xml:space="preserve">take expected of a Council with Cootamundra-Gundagai’s characteristics. This should provide considerable comfort to IPART and the Councillors that the rather large increases to local government taxation required to deal </w:t>
      </w:r>
      <w:r w:rsidR="00065E48">
        <w:t>with</w:t>
      </w:r>
      <w:r>
        <w:t xml:space="preserve"> the shock of the amalgamation and four year rate path</w:t>
      </w:r>
      <w:r w:rsidR="002C2105">
        <w:t xml:space="preserve"> freeze</w:t>
      </w:r>
      <w:r>
        <w:t xml:space="preserve"> are indeed within the capacity of tax payers. </w:t>
      </w:r>
      <w:r w:rsidR="00AB629C">
        <w:t xml:space="preserve">However, I hasten to add that my conclusion </w:t>
      </w:r>
      <w:r w:rsidR="00065E48">
        <w:t>should not be construed to suggest that I feel that the required tax increases will not cause pain – I deeply</w:t>
      </w:r>
      <w:r w:rsidR="009D14A3">
        <w:t xml:space="preserve"> regret that poor public policy</w:t>
      </w:r>
      <w:r w:rsidR="00065E48">
        <w:t xml:space="preserve">making has given rise to an urgent need for additional revenue – merely that I believe that most people will have the capacity to absorb the special rate variation. </w:t>
      </w:r>
    </w:p>
    <w:p w14:paraId="232F7350" w14:textId="77777777" w:rsidR="00622EC9" w:rsidRDefault="00622EC9" w:rsidP="000B7CBA"/>
    <w:p w14:paraId="75620B4F" w14:textId="77777777" w:rsidR="002C2105" w:rsidRDefault="002C2105">
      <w:pPr>
        <w:rPr>
          <w:b/>
        </w:rPr>
      </w:pPr>
      <w:r>
        <w:rPr>
          <w:b/>
        </w:rPr>
        <w:br w:type="page"/>
      </w:r>
    </w:p>
    <w:p w14:paraId="260BA13C" w14:textId="497A56D5" w:rsidR="000B7CBA" w:rsidRDefault="002C2105" w:rsidP="00D65C5B">
      <w:pPr>
        <w:rPr>
          <w:b/>
        </w:rPr>
      </w:pPr>
      <w:r>
        <w:rPr>
          <w:b/>
        </w:rPr>
        <w:lastRenderedPageBreak/>
        <w:t xml:space="preserve">6. </w:t>
      </w:r>
      <w:r w:rsidR="0044317D">
        <w:rPr>
          <w:b/>
        </w:rPr>
        <w:t>Conclusion</w:t>
      </w:r>
    </w:p>
    <w:p w14:paraId="713EB1C0" w14:textId="34ACB801" w:rsidR="000447A6" w:rsidRDefault="000447A6" w:rsidP="000447A6">
      <w:pPr>
        <w:spacing w:line="360" w:lineRule="auto"/>
      </w:pPr>
      <w:r w:rsidRPr="000447A6">
        <w:t>The only reason</w:t>
      </w:r>
      <w:r>
        <w:t xml:space="preserve">able conclusion that can be drawn from a sober consideration of the entire data included in this report is that the community of Cootamundra-Gundagai Regional Council do have the capacity to pay additional taxation. Indeed, the regression analysis clearly shows that </w:t>
      </w:r>
      <w:r w:rsidRPr="000447A6">
        <w:rPr>
          <w:i/>
        </w:rPr>
        <w:t>current</w:t>
      </w:r>
      <w:r>
        <w:t xml:space="preserve"> capacity is greater than the total tax-take that is </w:t>
      </w:r>
      <w:r w:rsidRPr="000447A6">
        <w:rPr>
          <w:i/>
        </w:rPr>
        <w:t>proposed</w:t>
      </w:r>
      <w:r>
        <w:t xml:space="preserve"> at the end of the special rate variation period (2025/26). To argue otherwise is to deny the evidence of tax levels actually paid at rural local government areas in New South Wales over the last three financial years.</w:t>
      </w:r>
    </w:p>
    <w:p w14:paraId="6B49B424" w14:textId="65186006" w:rsidR="000447A6" w:rsidRPr="000447A6" w:rsidRDefault="000447A6" w:rsidP="000447A6">
      <w:pPr>
        <w:spacing w:line="360" w:lineRule="auto"/>
      </w:pPr>
      <w:r>
        <w:t>Of course, capacity to pay and willingness to pay are two entirely different matters. I wouldn’t be at all surprised to learn that the people of Cootamundra-Gundagai are not happy about the prospect of a substantial increase to local government tax to pay for the outcomes of a deeply unpopular forced amalgamation in 2016. However, I do feel that most people would prefer a tax increase to an extended period of Administration – especially given the disastrous outcomes arising from the two Administrators appointed by the State government in the early period following the amalgamation. An important part of the community engagement activities is directed towards understanding whether this impression is indeed valid.</w:t>
      </w:r>
    </w:p>
    <w:p w14:paraId="44803855" w14:textId="7C27B25D" w:rsidR="000447A6" w:rsidRDefault="000447A6" w:rsidP="000447A6">
      <w:pPr>
        <w:spacing w:line="360" w:lineRule="auto"/>
      </w:pPr>
      <w:r>
        <w:t>The Councillors at Cootamundra-Gundagai have committed to continued pursuit of efficiencies in order that they might soften the burden of taxation wherever possible. Moreover, the Boundaries Commission is currently deliberating on a proposal to de-amalgamate and hence mitigate the substantial diseconomies of sc</w:t>
      </w:r>
      <w:r w:rsidR="009C4D26">
        <w:t xml:space="preserve">ale that have emerged – </w:t>
      </w:r>
      <w:r>
        <w:t>somewhat predictably for anyone conversant with neo-classical e</w:t>
      </w:r>
      <w:r w:rsidR="009C4D26">
        <w:t>conomic theory</w:t>
      </w:r>
      <w:r w:rsidR="00AB629C">
        <w:t xml:space="preserve"> (see Drew, 2020)</w:t>
      </w:r>
      <w:r w:rsidR="009C4D26">
        <w:t xml:space="preserve"> –</w:t>
      </w:r>
      <w:r>
        <w:t xml:space="preserve"> since amalgamation. I also continue to hope that the State government may yet have their consciences piqued and respond with some </w:t>
      </w:r>
      <w:r w:rsidR="009C4D26">
        <w:t xml:space="preserve">additional </w:t>
      </w:r>
      <w:r>
        <w:t xml:space="preserve">untied operational grant money that might go some way towards mitigating the </w:t>
      </w:r>
      <w:r w:rsidR="009C4D26">
        <w:t>extra</w:t>
      </w:r>
      <w:r>
        <w:t xml:space="preserve"> fiscal burden</w:t>
      </w:r>
      <w:r w:rsidR="009C4D26">
        <w:t>s</w:t>
      </w:r>
      <w:r>
        <w:t xml:space="preserve"> of diseconomies brought about as a </w:t>
      </w:r>
      <w:r w:rsidR="009C4D26">
        <w:t xml:space="preserve">result of </w:t>
      </w:r>
      <w:r>
        <w:t>poor public policymaking in 2016.</w:t>
      </w:r>
    </w:p>
    <w:p w14:paraId="5073E01C" w14:textId="1CE546AB" w:rsidR="000447A6" w:rsidRPr="000447A6" w:rsidRDefault="000447A6" w:rsidP="000447A6">
      <w:pPr>
        <w:spacing w:line="360" w:lineRule="auto"/>
      </w:pPr>
      <w:r>
        <w:lastRenderedPageBreak/>
        <w:t>Should the current grave financial predicament improve – perhaps as a result of one or more of the aforementioned contingencies – then the Council has committed to delaying</w:t>
      </w:r>
      <w:r w:rsidR="009C4D26">
        <w:t>,</w:t>
      </w:r>
      <w:r>
        <w:t xml:space="preserve"> or even </w:t>
      </w:r>
      <w:r w:rsidR="009C4D26">
        <w:t>foregoing,</w:t>
      </w:r>
      <w:r>
        <w:t xml:space="preserve"> some of the granted SRV as is now possible </w:t>
      </w:r>
      <w:r w:rsidR="009C4D26">
        <w:t>under the new catch-</w:t>
      </w:r>
      <w:r>
        <w:t>up provisions. Unfortunately</w:t>
      </w:r>
      <w:r w:rsidR="009C4D26">
        <w:t>,</w:t>
      </w:r>
      <w:r>
        <w:t xml:space="preserve"> my professional opinion is that Cou</w:t>
      </w:r>
      <w:r w:rsidR="009C4D26">
        <w:t>ncil is</w:t>
      </w:r>
      <w:r>
        <w:t xml:space="preserve"> unlikely be in the fiscal position to </w:t>
      </w:r>
      <w:r w:rsidR="009C4D26">
        <w:t xml:space="preserve">do so </w:t>
      </w:r>
      <w:r w:rsidR="00AB629C">
        <w:t>given the seriousness of their predicament</w:t>
      </w:r>
      <w:r>
        <w:t xml:space="preserve">. However, the community should draw some solace from the Council’s fervent desire to mitigate matters should </w:t>
      </w:r>
      <w:r w:rsidR="009C4D26">
        <w:t>contingencies combine to improve</w:t>
      </w:r>
      <w:r w:rsidR="00AB629C">
        <w:t xml:space="preserve"> its fiscal plight</w:t>
      </w:r>
      <w:r w:rsidR="009C4D26">
        <w:t xml:space="preserve"> beyond that which is predicted.</w:t>
      </w:r>
    </w:p>
    <w:p w14:paraId="32816FB2" w14:textId="3038918F" w:rsidR="000B7CBA" w:rsidRDefault="000B7CBA" w:rsidP="00D65C5B">
      <w:pPr>
        <w:rPr>
          <w:b/>
        </w:rPr>
      </w:pPr>
    </w:p>
    <w:p w14:paraId="0534F8C3" w14:textId="77777777" w:rsidR="000B7CBA" w:rsidRDefault="000B7CBA" w:rsidP="00D65C5B">
      <w:pPr>
        <w:rPr>
          <w:b/>
        </w:rPr>
      </w:pPr>
    </w:p>
    <w:p w14:paraId="583920A8" w14:textId="77777777" w:rsidR="00DB76E3" w:rsidRDefault="00DB76E3">
      <w:pPr>
        <w:rPr>
          <w:b/>
        </w:rPr>
      </w:pPr>
      <w:bookmarkStart w:id="1" w:name="_Hlk59542831"/>
      <w:r>
        <w:rPr>
          <w:b/>
        </w:rPr>
        <w:br w:type="page"/>
      </w:r>
    </w:p>
    <w:p w14:paraId="71A95B91" w14:textId="09CEA914" w:rsidR="00D65C5B" w:rsidRPr="00CB5CAB" w:rsidRDefault="00CB5CAB" w:rsidP="00CB5CAB">
      <w:pPr>
        <w:jc w:val="center"/>
        <w:rPr>
          <w:b/>
        </w:rPr>
      </w:pPr>
      <w:r w:rsidRPr="00CB5CAB">
        <w:rPr>
          <w:b/>
        </w:rPr>
        <w:lastRenderedPageBreak/>
        <w:t>References</w:t>
      </w:r>
    </w:p>
    <w:p w14:paraId="5A58B0DD" w14:textId="258CB7CC" w:rsidR="00BA34D7" w:rsidRDefault="00BA34D7" w:rsidP="00A261CC">
      <w:r>
        <w:t xml:space="preserve">Australian Bureau of Statistics (ABS) (2020). </w:t>
      </w:r>
      <w:r w:rsidRPr="005B486B">
        <w:rPr>
          <w:i/>
        </w:rPr>
        <w:t>Data by Region</w:t>
      </w:r>
      <w:r>
        <w:t xml:space="preserve">. Available at: </w:t>
      </w:r>
      <w:hyperlink r:id="rId53" w:history="1">
        <w:r w:rsidRPr="00760844">
          <w:rPr>
            <w:rStyle w:val="Hyperlink"/>
          </w:rPr>
          <w:t>https://itt.abs.gov.au/itt/r.jsp?databyregion</w:t>
        </w:r>
      </w:hyperlink>
      <w:r>
        <w:t>. Consulted Tuesday 22</w:t>
      </w:r>
      <w:r w:rsidRPr="00BA34D7">
        <w:rPr>
          <w:vertAlign w:val="superscript"/>
        </w:rPr>
        <w:t>nd</w:t>
      </w:r>
      <w:r>
        <w:t xml:space="preserve"> December, 2020.</w:t>
      </w:r>
    </w:p>
    <w:p w14:paraId="2273CBFA" w14:textId="3F28BCBF" w:rsidR="00BA34D7" w:rsidRDefault="00BA34D7" w:rsidP="00A261CC">
      <w:r>
        <w:t xml:space="preserve">Australian Bureau of Statistics (2016). </w:t>
      </w:r>
      <w:r w:rsidRPr="00BA34D7">
        <w:rPr>
          <w:i/>
        </w:rPr>
        <w:t>Value of Agricultural Commodities Produced, Australia</w:t>
      </w:r>
      <w:r>
        <w:t>, 2015-16. ABS: Canberra.</w:t>
      </w:r>
    </w:p>
    <w:p w14:paraId="18DDBD10" w14:textId="047CE453" w:rsidR="00BA34D7" w:rsidRDefault="00BA34D7" w:rsidP="00A261CC">
      <w:r>
        <w:t xml:space="preserve">Australian Department of Agriculture, Water and the Environment ABARES. (2020). </w:t>
      </w:r>
      <w:r w:rsidRPr="005B486B">
        <w:rPr>
          <w:i/>
        </w:rPr>
        <w:t>Agricultural Commodity Statistics</w:t>
      </w:r>
      <w:r>
        <w:t>. ABARES</w:t>
      </w:r>
      <w:r w:rsidR="005B486B">
        <w:t>: Canberra.</w:t>
      </w:r>
    </w:p>
    <w:p w14:paraId="6818BB01" w14:textId="356AB96F" w:rsidR="00B857E3" w:rsidRDefault="00B857E3" w:rsidP="00A261CC">
      <w:r>
        <w:t xml:space="preserve">Coelli, T., Rao, P., O’Donnell, C., and Battese, G. (2006). </w:t>
      </w:r>
      <w:r w:rsidRPr="00B857E3">
        <w:rPr>
          <w:i/>
        </w:rPr>
        <w:t>An Introduction to Efficiency and Productivity Analysis</w:t>
      </w:r>
      <w:r>
        <w:t>. Springer: Singapore.</w:t>
      </w:r>
    </w:p>
    <w:p w14:paraId="6B702E0A" w14:textId="465C904D" w:rsidR="00A261CC" w:rsidRPr="00A261CC" w:rsidRDefault="00A261CC" w:rsidP="00A261CC">
      <w:r w:rsidRPr="00A261CC">
        <w:t xml:space="preserve">Drew, J. (2020). </w:t>
      </w:r>
      <w:r w:rsidRPr="00A261CC">
        <w:rPr>
          <w:i/>
        </w:rPr>
        <w:t>Reforming Local Government</w:t>
      </w:r>
      <w:r w:rsidRPr="00A261CC">
        <w:t>. Springer Palgrave: Singapore.</w:t>
      </w:r>
    </w:p>
    <w:p w14:paraId="22BD2E2D" w14:textId="77777777" w:rsidR="00B857E3" w:rsidRPr="00B857E3" w:rsidRDefault="00B857E3" w:rsidP="00B857E3">
      <w:r w:rsidRPr="00B857E3">
        <w:t xml:space="preserve">Drew, J. and Dollery, B (2015). A Fair Go? A Response to the Independent Local Government Review Panel’s Assessment of Municipal Taxation in New South Wales. </w:t>
      </w:r>
      <w:r w:rsidRPr="00B857E3">
        <w:rPr>
          <w:i/>
        </w:rPr>
        <w:t>Australian Tax Forum</w:t>
      </w:r>
      <w:r w:rsidRPr="00B857E3">
        <w:t>, 30(3): 471-489.</w:t>
      </w:r>
    </w:p>
    <w:p w14:paraId="0DB9217D" w14:textId="02BE6274" w:rsidR="00B857E3" w:rsidRDefault="009778FF" w:rsidP="00383304">
      <w:r w:rsidRPr="009778FF">
        <w:t xml:space="preserve">Drew, J., McQuestin, D. and B. Dollery. (2019). Good to Share? The Pecuniary Implications of Moving to Shared Service Production for Local Government Services. </w:t>
      </w:r>
      <w:r w:rsidRPr="009778FF">
        <w:rPr>
          <w:i/>
        </w:rPr>
        <w:t>Public Administration</w:t>
      </w:r>
      <w:r w:rsidRPr="009778FF">
        <w:t>, https://doi.org/10.1111/padm.12575</w:t>
      </w:r>
      <w:r>
        <w:t>.</w:t>
      </w:r>
    </w:p>
    <w:p w14:paraId="32B615EC" w14:textId="5B3F859D" w:rsidR="00383304" w:rsidRDefault="00383304" w:rsidP="00383304">
      <w:r w:rsidRPr="00383304">
        <w:t xml:space="preserve">Drew, J. and Dollery, B. (2016) What’s In a Name? Assessing the Performance of Local Government Classification Systems. </w:t>
      </w:r>
      <w:r w:rsidRPr="00383304">
        <w:rPr>
          <w:i/>
        </w:rPr>
        <w:t>Local Government Studies</w:t>
      </w:r>
      <w:r w:rsidRPr="00383304">
        <w:t>, 42(2): 248-266.</w:t>
      </w:r>
    </w:p>
    <w:p w14:paraId="2EF5D04C" w14:textId="5D88A101" w:rsidR="006E721D" w:rsidRPr="00383304" w:rsidRDefault="006E721D" w:rsidP="00383304">
      <w:r>
        <w:t xml:space="preserve">Kennedy, P. (2003). </w:t>
      </w:r>
      <w:r w:rsidRPr="006E721D">
        <w:rPr>
          <w:i/>
        </w:rPr>
        <w:t>A Guide to Econometrics</w:t>
      </w:r>
      <w:r>
        <w:t>. MIT Press: Cambridge.</w:t>
      </w:r>
    </w:p>
    <w:p w14:paraId="59F9BD93" w14:textId="625937F6" w:rsidR="00884C6C" w:rsidRDefault="00884C6C">
      <w:r>
        <w:t xml:space="preserve">Office of Local Government. (2020). </w:t>
      </w:r>
      <w:r w:rsidRPr="00E25A0D">
        <w:rPr>
          <w:i/>
          <w:iCs/>
        </w:rPr>
        <w:t>Guidelines for the Preparation of an Application for a Special Variation to General Income</w:t>
      </w:r>
      <w:r>
        <w:t xml:space="preserve">. </w:t>
      </w:r>
      <w:r w:rsidR="00A502B9">
        <w:t xml:space="preserve">OLG: </w:t>
      </w:r>
      <w:r>
        <w:t>Nowra</w:t>
      </w:r>
      <w:r w:rsidR="00A502B9">
        <w:t>.</w:t>
      </w:r>
    </w:p>
    <w:p w14:paraId="1DC465E0" w14:textId="03EA98EF" w:rsidR="00A261CC" w:rsidRDefault="00871E20">
      <w:r>
        <w:t xml:space="preserve">Meat and Livestock Australia (2020). </w:t>
      </w:r>
      <w:r w:rsidRPr="00E25A0D">
        <w:rPr>
          <w:i/>
          <w:iCs/>
        </w:rPr>
        <w:t>Daily Indicators</w:t>
      </w:r>
      <w:r>
        <w:t xml:space="preserve">. Available at: </w:t>
      </w:r>
      <w:hyperlink r:id="rId54" w:history="1">
        <w:r w:rsidRPr="00760844">
          <w:rPr>
            <w:rStyle w:val="Hyperlink"/>
          </w:rPr>
          <w:t>https://www.mla.com.au/prices-markets/</w:t>
        </w:r>
      </w:hyperlink>
      <w:r>
        <w:t>. Consulted 22</w:t>
      </w:r>
      <w:r w:rsidRPr="00871E20">
        <w:rPr>
          <w:vertAlign w:val="superscript"/>
        </w:rPr>
        <w:t>nd</w:t>
      </w:r>
      <w:r>
        <w:t xml:space="preserve"> December, 2020.</w:t>
      </w:r>
    </w:p>
    <w:p w14:paraId="295F9B58" w14:textId="2BA616C6" w:rsidR="00CB5CAB" w:rsidRDefault="00CB5CAB">
      <w:r>
        <w:t xml:space="preserve">Stiglitz, J. (2013). </w:t>
      </w:r>
      <w:r w:rsidRPr="00E25A0D">
        <w:rPr>
          <w:i/>
          <w:iCs/>
        </w:rPr>
        <w:t>The Price of Inequality</w:t>
      </w:r>
      <w:r>
        <w:t>. Penguin: New York.</w:t>
      </w:r>
    </w:p>
    <w:bookmarkEnd w:id="1"/>
    <w:p w14:paraId="02666933" w14:textId="1B607AAE" w:rsidR="00CB5CAB" w:rsidRDefault="00CB5CAB"/>
    <w:p w14:paraId="0DD10176" w14:textId="271E059F" w:rsidR="00603840" w:rsidRDefault="00603840"/>
    <w:p w14:paraId="45CA6114" w14:textId="37FDD953" w:rsidR="00603840" w:rsidRDefault="00603840"/>
    <w:p w14:paraId="20871A33" w14:textId="0205200A" w:rsidR="00603840" w:rsidRDefault="00603840"/>
    <w:p w14:paraId="19AACBC5" w14:textId="5B6E8A53" w:rsidR="00603840" w:rsidRDefault="00603840"/>
    <w:p w14:paraId="3ABD7F2C" w14:textId="231DB734" w:rsidR="00603840" w:rsidRDefault="00603840"/>
    <w:p w14:paraId="460A1DC8" w14:textId="73B01BAD" w:rsidR="00603840" w:rsidRDefault="00603840"/>
    <w:sectPr w:rsidR="00603840">
      <w:headerReference w:type="even" r:id="rId55"/>
      <w:headerReference w:type="default" r:id="rId56"/>
      <w:footerReference w:type="even" r:id="rId57"/>
      <w:footerReference w:type="default" r:id="rId58"/>
      <w:headerReference w:type="first" r:id="rId59"/>
      <w:footerReference w:type="first" r:id="rId60"/>
      <w:pgSz w:w="11906" w:h="16838"/>
      <w:pgMar w:top="1985" w:right="1701" w:bottom="1701"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8E97" w16cex:dateUtc="2020-12-22T06:26:00Z"/>
  <w16cex:commentExtensible w16cex:durableId="238C7E13" w16cex:dateUtc="2020-12-22T05:15:00Z"/>
  <w16cex:commentExtensible w16cex:durableId="238CFF3B" w16cex:dateUtc="2020-12-22T14:26:00Z"/>
  <w16cex:commentExtensible w16cex:durableId="238D0120" w16cex:dateUtc="2020-12-22T14:34:00Z"/>
  <w16cex:commentExtensible w16cex:durableId="238D02C0" w16cex:dateUtc="2020-12-22T14:41:00Z"/>
  <w16cex:commentExtensible w16cex:durableId="238D041D" w16cex:dateUtc="2020-12-22T14:47:00Z"/>
  <w16cex:commentExtensible w16cex:durableId="238C8BC3" w16cex:dateUtc="2020-12-22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A87770" w16cid:durableId="238C8E97"/>
  <w16cid:commentId w16cid:paraId="77DB1BDA" w16cid:durableId="238C7E13"/>
  <w16cid:commentId w16cid:paraId="7DB824E5" w16cid:durableId="238CFF3B"/>
  <w16cid:commentId w16cid:paraId="6030850B" w16cid:durableId="238D0120"/>
  <w16cid:commentId w16cid:paraId="0D703BE2" w16cid:durableId="238D02C0"/>
  <w16cid:commentId w16cid:paraId="47221248" w16cid:durableId="238D041D"/>
  <w16cid:commentId w16cid:paraId="7CBC8DB2" w16cid:durableId="238C8B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73F0B" w14:textId="77777777" w:rsidR="00820798" w:rsidRDefault="00820798" w:rsidP="0098320A">
      <w:pPr>
        <w:spacing w:after="0" w:line="240" w:lineRule="auto"/>
      </w:pPr>
      <w:r>
        <w:separator/>
      </w:r>
    </w:p>
  </w:endnote>
  <w:endnote w:type="continuationSeparator" w:id="0">
    <w:p w14:paraId="6F676DE4" w14:textId="77777777" w:rsidR="00820798" w:rsidRDefault="00820798" w:rsidP="0098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1A95" w14:textId="77777777" w:rsidR="00820798" w:rsidRDefault="00820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928339"/>
      <w:docPartObj>
        <w:docPartGallery w:val="Page Numbers (Bottom of Page)"/>
        <w:docPartUnique/>
      </w:docPartObj>
    </w:sdtPr>
    <w:sdtEndPr>
      <w:rPr>
        <w:noProof/>
      </w:rPr>
    </w:sdtEndPr>
    <w:sdtContent>
      <w:p w14:paraId="067AD865" w14:textId="292319FB" w:rsidR="00820798" w:rsidRDefault="00820798">
        <w:pPr>
          <w:pStyle w:val="Footer"/>
          <w:jc w:val="right"/>
        </w:pPr>
        <w:r>
          <w:fldChar w:fldCharType="begin"/>
        </w:r>
        <w:r>
          <w:instrText xml:space="preserve"> PAGE   \* MERGEFORMAT </w:instrText>
        </w:r>
        <w:r>
          <w:fldChar w:fldCharType="separate"/>
        </w:r>
        <w:r w:rsidR="00AA1F6E">
          <w:rPr>
            <w:noProof/>
          </w:rPr>
          <w:t>1</w:t>
        </w:r>
        <w:r>
          <w:rPr>
            <w:noProof/>
          </w:rPr>
          <w:fldChar w:fldCharType="end"/>
        </w:r>
      </w:p>
    </w:sdtContent>
  </w:sdt>
  <w:p w14:paraId="402F28B8" w14:textId="77777777" w:rsidR="00820798" w:rsidRDefault="00820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3CA4" w14:textId="77777777" w:rsidR="00820798" w:rsidRDefault="00820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52B6" w14:textId="77777777" w:rsidR="00820798" w:rsidRDefault="00820798" w:rsidP="0098320A">
      <w:pPr>
        <w:spacing w:after="0" w:line="240" w:lineRule="auto"/>
      </w:pPr>
      <w:r>
        <w:separator/>
      </w:r>
    </w:p>
  </w:footnote>
  <w:footnote w:type="continuationSeparator" w:id="0">
    <w:p w14:paraId="5914D055" w14:textId="77777777" w:rsidR="00820798" w:rsidRDefault="00820798" w:rsidP="0098320A">
      <w:pPr>
        <w:spacing w:after="0" w:line="240" w:lineRule="auto"/>
      </w:pPr>
      <w:r>
        <w:continuationSeparator/>
      </w:r>
    </w:p>
  </w:footnote>
  <w:footnote w:id="1">
    <w:p w14:paraId="0F176B33" w14:textId="0DD86EE2" w:rsidR="00820798" w:rsidRDefault="00820798">
      <w:pPr>
        <w:pStyle w:val="FootnoteText"/>
      </w:pPr>
      <w:r>
        <w:rPr>
          <w:rStyle w:val="FootnoteReference"/>
        </w:rPr>
        <w:footnoteRef/>
      </w:r>
      <w:r>
        <w:t xml:space="preserve"> The mean is the average (all numbers for each category added together and divided by the number of data points). Standard deviation is a measure of average spread from the mean. The median is the middle number when data points are ranked in ascending order. Quartile 1 is the middle of the lowest half of the data (marked by the median), and Quartile 3 is the middle of the top half. Twenty-five percent of the data points lie below Quartile 1 and twenty-five percent above Quartile 3. The interquartile range is the measure of spread for use with quartile data and is the difference between Quartile 3 and Quartile 1.</w:t>
      </w:r>
    </w:p>
  </w:footnote>
  <w:footnote w:id="2">
    <w:p w14:paraId="7C801442" w14:textId="38075C87" w:rsidR="00820798" w:rsidRDefault="00820798">
      <w:pPr>
        <w:pStyle w:val="FootnoteText"/>
      </w:pPr>
      <w:r>
        <w:rPr>
          <w:rStyle w:val="FootnoteReference"/>
        </w:rPr>
        <w:footnoteRef/>
      </w:r>
      <w:r>
        <w:t xml:space="preserve"> Because I use actual 2020-21 data for Cootamundra-Gundagai the recent land values are imputed to the average rate level. However, because I merely indexed 2018-19 data for the comparators these average figures will not necessarily reflect new land valuations. Changes to land valuations have a high potential to change mean rate data. </w:t>
      </w:r>
    </w:p>
  </w:footnote>
  <w:footnote w:id="3">
    <w:p w14:paraId="729AC140" w14:textId="54AF145B" w:rsidR="00820798" w:rsidRDefault="00820798">
      <w:pPr>
        <w:pStyle w:val="FootnoteText"/>
      </w:pPr>
      <w:r>
        <w:rPr>
          <w:rStyle w:val="FootnoteReference"/>
        </w:rPr>
        <w:footnoteRef/>
      </w:r>
      <w:r>
        <w:t xml:space="preserve"> A term employed by the ABS (2020) which reflects household income adjusted to facilitate the comparison of income levels between households of differing size. </w:t>
      </w:r>
    </w:p>
  </w:footnote>
  <w:footnote w:id="4">
    <w:p w14:paraId="49B61BC5" w14:textId="746684F5" w:rsidR="00820798" w:rsidRDefault="00820798">
      <w:pPr>
        <w:pStyle w:val="FootnoteText"/>
      </w:pPr>
      <w:r>
        <w:rPr>
          <w:rStyle w:val="FootnoteReference"/>
        </w:rPr>
        <w:footnoteRef/>
      </w:r>
      <w:r>
        <w:t xml:space="preserve"> EYCI is the Eastern Young Cattle Indicator expressed in cents per kilogram of dressed carcase weight.</w:t>
      </w:r>
    </w:p>
  </w:footnote>
  <w:footnote w:id="5">
    <w:p w14:paraId="35AE6512" w14:textId="007C3343" w:rsidR="00820798" w:rsidRDefault="00820798">
      <w:pPr>
        <w:pStyle w:val="FootnoteText"/>
      </w:pPr>
      <w:r>
        <w:rPr>
          <w:rStyle w:val="FootnoteReference"/>
        </w:rPr>
        <w:footnoteRef/>
      </w:r>
      <w:r>
        <w:t xml:space="preserve"> NTLI is the national trade lamb indicator expressed in cents per kilogram of dressed carcase weight. </w:t>
      </w:r>
    </w:p>
  </w:footnote>
  <w:footnote w:id="6">
    <w:p w14:paraId="4E85BCB2" w14:textId="6F9B8AAA" w:rsidR="00820798" w:rsidRDefault="00820798">
      <w:pPr>
        <w:pStyle w:val="FootnoteText"/>
      </w:pPr>
      <w:r>
        <w:rPr>
          <w:rStyle w:val="FootnoteReference"/>
        </w:rPr>
        <w:footnoteRef/>
      </w:r>
      <w:r>
        <w:t xml:space="preserve"> The odd number arises because a few of the rural councils (such as Hilltops) have received an extension for the preparation of their audited financial statements.</w:t>
      </w:r>
    </w:p>
  </w:footnote>
  <w:footnote w:id="7">
    <w:p w14:paraId="251C1225" w14:textId="77777777" w:rsidR="00820798" w:rsidRDefault="00820798" w:rsidP="000B7CBA">
      <w:pPr>
        <w:pStyle w:val="FootnoteText"/>
      </w:pPr>
      <w:r>
        <w:rPr>
          <w:rStyle w:val="FootnoteReference"/>
        </w:rPr>
        <w:footnoteRef/>
      </w:r>
      <w:r>
        <w:t xml:space="preserve"> Data obtained from Long Term Financial Plan budgeted data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2122" w14:textId="77777777" w:rsidR="00820798" w:rsidRDefault="00820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357C" w14:textId="77777777" w:rsidR="00820798" w:rsidRDefault="00820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E836" w14:textId="77777777" w:rsidR="00820798" w:rsidRDefault="00820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A9F"/>
    <w:multiLevelType w:val="hybridMultilevel"/>
    <w:tmpl w:val="0AC0E606"/>
    <w:lvl w:ilvl="0" w:tplc="04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3C"/>
    <w:rsid w:val="000117ED"/>
    <w:rsid w:val="00013C10"/>
    <w:rsid w:val="000447A6"/>
    <w:rsid w:val="00065E48"/>
    <w:rsid w:val="0007489B"/>
    <w:rsid w:val="000870BC"/>
    <w:rsid w:val="000B7CBA"/>
    <w:rsid w:val="000C67B8"/>
    <w:rsid w:val="000C7DD9"/>
    <w:rsid w:val="000D159F"/>
    <w:rsid w:val="00115554"/>
    <w:rsid w:val="00131269"/>
    <w:rsid w:val="00166A25"/>
    <w:rsid w:val="00183DA5"/>
    <w:rsid w:val="00186277"/>
    <w:rsid w:val="001874B9"/>
    <w:rsid w:val="001927C5"/>
    <w:rsid w:val="001A59C7"/>
    <w:rsid w:val="001D3599"/>
    <w:rsid w:val="001E44A9"/>
    <w:rsid w:val="00223A8A"/>
    <w:rsid w:val="0024353A"/>
    <w:rsid w:val="0026230D"/>
    <w:rsid w:val="002A6F6D"/>
    <w:rsid w:val="002C2105"/>
    <w:rsid w:val="002E0D4A"/>
    <w:rsid w:val="00337E34"/>
    <w:rsid w:val="0036788A"/>
    <w:rsid w:val="003706D2"/>
    <w:rsid w:val="00374E77"/>
    <w:rsid w:val="00383304"/>
    <w:rsid w:val="00394ECC"/>
    <w:rsid w:val="003A04E8"/>
    <w:rsid w:val="003B1708"/>
    <w:rsid w:val="003B49B8"/>
    <w:rsid w:val="003C6228"/>
    <w:rsid w:val="003D2CDF"/>
    <w:rsid w:val="003D732E"/>
    <w:rsid w:val="003F37ED"/>
    <w:rsid w:val="00407044"/>
    <w:rsid w:val="004274E7"/>
    <w:rsid w:val="0044317D"/>
    <w:rsid w:val="004639C1"/>
    <w:rsid w:val="00473097"/>
    <w:rsid w:val="0048058C"/>
    <w:rsid w:val="004A6799"/>
    <w:rsid w:val="004B0E22"/>
    <w:rsid w:val="004C10AF"/>
    <w:rsid w:val="004D35BE"/>
    <w:rsid w:val="00540690"/>
    <w:rsid w:val="0054178E"/>
    <w:rsid w:val="0054383D"/>
    <w:rsid w:val="00544060"/>
    <w:rsid w:val="00556B5D"/>
    <w:rsid w:val="00560C06"/>
    <w:rsid w:val="005971C9"/>
    <w:rsid w:val="005B1BE9"/>
    <w:rsid w:val="005B486B"/>
    <w:rsid w:val="005D2C65"/>
    <w:rsid w:val="005D7AF8"/>
    <w:rsid w:val="005E0107"/>
    <w:rsid w:val="005F493C"/>
    <w:rsid w:val="00603840"/>
    <w:rsid w:val="00622EC9"/>
    <w:rsid w:val="00636E34"/>
    <w:rsid w:val="0064147C"/>
    <w:rsid w:val="0064395C"/>
    <w:rsid w:val="00653270"/>
    <w:rsid w:val="00660311"/>
    <w:rsid w:val="00672549"/>
    <w:rsid w:val="006949BB"/>
    <w:rsid w:val="006A0D60"/>
    <w:rsid w:val="006A5BE2"/>
    <w:rsid w:val="006B56E8"/>
    <w:rsid w:val="006C31A7"/>
    <w:rsid w:val="006D1D4E"/>
    <w:rsid w:val="006E721D"/>
    <w:rsid w:val="0075264C"/>
    <w:rsid w:val="00756D16"/>
    <w:rsid w:val="00764DD5"/>
    <w:rsid w:val="00784CA7"/>
    <w:rsid w:val="007A662C"/>
    <w:rsid w:val="007E5EAA"/>
    <w:rsid w:val="007F41B0"/>
    <w:rsid w:val="007F56D0"/>
    <w:rsid w:val="00820798"/>
    <w:rsid w:val="00843D15"/>
    <w:rsid w:val="0086569C"/>
    <w:rsid w:val="00870791"/>
    <w:rsid w:val="00871E20"/>
    <w:rsid w:val="00873262"/>
    <w:rsid w:val="00875C81"/>
    <w:rsid w:val="00877BEF"/>
    <w:rsid w:val="00884C6C"/>
    <w:rsid w:val="008A1C44"/>
    <w:rsid w:val="008D03A1"/>
    <w:rsid w:val="008D5E1B"/>
    <w:rsid w:val="008F4450"/>
    <w:rsid w:val="00911D26"/>
    <w:rsid w:val="00922585"/>
    <w:rsid w:val="009322AD"/>
    <w:rsid w:val="00940DCA"/>
    <w:rsid w:val="00942D81"/>
    <w:rsid w:val="009778FF"/>
    <w:rsid w:val="0098320A"/>
    <w:rsid w:val="009A2B67"/>
    <w:rsid w:val="009A4CF4"/>
    <w:rsid w:val="009A6356"/>
    <w:rsid w:val="009C4D26"/>
    <w:rsid w:val="009C7E45"/>
    <w:rsid w:val="009D14A3"/>
    <w:rsid w:val="009D5E6A"/>
    <w:rsid w:val="009F2D30"/>
    <w:rsid w:val="009F42E1"/>
    <w:rsid w:val="00A14584"/>
    <w:rsid w:val="00A261CC"/>
    <w:rsid w:val="00A270CB"/>
    <w:rsid w:val="00A502B9"/>
    <w:rsid w:val="00A52C43"/>
    <w:rsid w:val="00A600B4"/>
    <w:rsid w:val="00A66F34"/>
    <w:rsid w:val="00A83039"/>
    <w:rsid w:val="00A84198"/>
    <w:rsid w:val="00A9178A"/>
    <w:rsid w:val="00AA1F6E"/>
    <w:rsid w:val="00AA7350"/>
    <w:rsid w:val="00AB629C"/>
    <w:rsid w:val="00AE0C5F"/>
    <w:rsid w:val="00AF7BB3"/>
    <w:rsid w:val="00B03B2C"/>
    <w:rsid w:val="00B147BE"/>
    <w:rsid w:val="00B5317B"/>
    <w:rsid w:val="00B857E3"/>
    <w:rsid w:val="00B943A4"/>
    <w:rsid w:val="00B946B3"/>
    <w:rsid w:val="00BA34D7"/>
    <w:rsid w:val="00BA769F"/>
    <w:rsid w:val="00BD0484"/>
    <w:rsid w:val="00BD6324"/>
    <w:rsid w:val="00C01923"/>
    <w:rsid w:val="00C20B46"/>
    <w:rsid w:val="00C2306A"/>
    <w:rsid w:val="00C82D71"/>
    <w:rsid w:val="00C93C82"/>
    <w:rsid w:val="00CA3819"/>
    <w:rsid w:val="00CB5CAB"/>
    <w:rsid w:val="00CB7FC7"/>
    <w:rsid w:val="00CC000A"/>
    <w:rsid w:val="00CE1726"/>
    <w:rsid w:val="00D172FF"/>
    <w:rsid w:val="00D20460"/>
    <w:rsid w:val="00D567A3"/>
    <w:rsid w:val="00D62B61"/>
    <w:rsid w:val="00D634C8"/>
    <w:rsid w:val="00D65C5B"/>
    <w:rsid w:val="00D83B17"/>
    <w:rsid w:val="00D85DC9"/>
    <w:rsid w:val="00D86326"/>
    <w:rsid w:val="00DB1595"/>
    <w:rsid w:val="00DB76E3"/>
    <w:rsid w:val="00DC6954"/>
    <w:rsid w:val="00DE5F3C"/>
    <w:rsid w:val="00DF1516"/>
    <w:rsid w:val="00E00D83"/>
    <w:rsid w:val="00E130F2"/>
    <w:rsid w:val="00E25A0D"/>
    <w:rsid w:val="00E33DF2"/>
    <w:rsid w:val="00E42727"/>
    <w:rsid w:val="00E43951"/>
    <w:rsid w:val="00E44835"/>
    <w:rsid w:val="00E9783A"/>
    <w:rsid w:val="00EA18D2"/>
    <w:rsid w:val="00EB2EA0"/>
    <w:rsid w:val="00EB6DE2"/>
    <w:rsid w:val="00ED7E44"/>
    <w:rsid w:val="00F6197F"/>
    <w:rsid w:val="00F82066"/>
    <w:rsid w:val="00F856E6"/>
    <w:rsid w:val="00F900FC"/>
    <w:rsid w:val="00F94BAB"/>
    <w:rsid w:val="00FC4D50"/>
    <w:rsid w:val="00FD020A"/>
    <w:rsid w:val="00FD3171"/>
    <w:rsid w:val="00FE34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7B1609"/>
  <w15:chartTrackingRefBased/>
  <w15:docId w15:val="{EE8451FD-B9B8-4514-9BF4-9B8AF809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F3C"/>
    <w:rPr>
      <w:rFonts w:ascii="Arial" w:eastAsiaTheme="minorHAnsi"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5C5B"/>
    <w:rPr>
      <w:sz w:val="16"/>
      <w:szCs w:val="16"/>
    </w:rPr>
  </w:style>
  <w:style w:type="paragraph" w:styleId="CommentText">
    <w:name w:val="annotation text"/>
    <w:basedOn w:val="Normal"/>
    <w:link w:val="CommentTextChar"/>
    <w:uiPriority w:val="99"/>
    <w:semiHidden/>
    <w:unhideWhenUsed/>
    <w:rsid w:val="00D65C5B"/>
    <w:pPr>
      <w:spacing w:line="240" w:lineRule="auto"/>
    </w:pPr>
    <w:rPr>
      <w:sz w:val="20"/>
      <w:szCs w:val="20"/>
    </w:rPr>
  </w:style>
  <w:style w:type="character" w:customStyle="1" w:styleId="CommentTextChar">
    <w:name w:val="Comment Text Char"/>
    <w:basedOn w:val="DefaultParagraphFont"/>
    <w:link w:val="CommentText"/>
    <w:uiPriority w:val="99"/>
    <w:semiHidden/>
    <w:rsid w:val="00D65C5B"/>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D65C5B"/>
    <w:rPr>
      <w:b/>
      <w:bCs/>
    </w:rPr>
  </w:style>
  <w:style w:type="character" w:customStyle="1" w:styleId="CommentSubjectChar">
    <w:name w:val="Comment Subject Char"/>
    <w:basedOn w:val="CommentTextChar"/>
    <w:link w:val="CommentSubject"/>
    <w:uiPriority w:val="99"/>
    <w:semiHidden/>
    <w:rsid w:val="00D65C5B"/>
    <w:rPr>
      <w:rFonts w:ascii="Arial" w:eastAsiaTheme="minorHAnsi" w:hAnsi="Arial"/>
      <w:b/>
      <w:bCs/>
      <w:sz w:val="20"/>
      <w:szCs w:val="20"/>
      <w:lang w:eastAsia="en-US"/>
    </w:rPr>
  </w:style>
  <w:style w:type="paragraph" w:styleId="BalloonText">
    <w:name w:val="Balloon Text"/>
    <w:basedOn w:val="Normal"/>
    <w:link w:val="BalloonTextChar"/>
    <w:uiPriority w:val="99"/>
    <w:semiHidden/>
    <w:unhideWhenUsed/>
    <w:rsid w:val="00D65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C5B"/>
    <w:rPr>
      <w:rFonts w:ascii="Segoe UI" w:eastAsiaTheme="minorHAnsi" w:hAnsi="Segoe UI" w:cs="Segoe UI"/>
      <w:sz w:val="18"/>
      <w:szCs w:val="18"/>
      <w:lang w:eastAsia="en-US"/>
    </w:rPr>
  </w:style>
  <w:style w:type="paragraph" w:styleId="Header">
    <w:name w:val="header"/>
    <w:basedOn w:val="Normal"/>
    <w:link w:val="HeaderChar"/>
    <w:uiPriority w:val="99"/>
    <w:unhideWhenUsed/>
    <w:rsid w:val="00641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47C"/>
    <w:rPr>
      <w:rFonts w:ascii="Arial" w:eastAsiaTheme="minorHAnsi" w:hAnsi="Arial"/>
      <w:sz w:val="24"/>
      <w:lang w:eastAsia="en-US"/>
    </w:rPr>
  </w:style>
  <w:style w:type="paragraph" w:styleId="Footer">
    <w:name w:val="footer"/>
    <w:basedOn w:val="Normal"/>
    <w:link w:val="FooterChar"/>
    <w:uiPriority w:val="99"/>
    <w:unhideWhenUsed/>
    <w:rsid w:val="00641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47C"/>
    <w:rPr>
      <w:rFonts w:ascii="Arial" w:eastAsiaTheme="minorHAnsi" w:hAnsi="Arial"/>
      <w:sz w:val="24"/>
      <w:lang w:eastAsia="en-US"/>
    </w:rPr>
  </w:style>
  <w:style w:type="table" w:styleId="TableSimple1">
    <w:name w:val="Table Simple 1"/>
    <w:basedOn w:val="TableNormal"/>
    <w:uiPriority w:val="99"/>
    <w:rsid w:val="00BD6324"/>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39"/>
    <w:rsid w:val="001E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4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4A9"/>
    <w:rPr>
      <w:rFonts w:ascii="Arial" w:eastAsiaTheme="minorHAnsi" w:hAnsi="Arial"/>
      <w:sz w:val="20"/>
      <w:szCs w:val="20"/>
      <w:lang w:eastAsia="en-US"/>
    </w:rPr>
  </w:style>
  <w:style w:type="character" w:styleId="FootnoteReference">
    <w:name w:val="footnote reference"/>
    <w:basedOn w:val="DefaultParagraphFont"/>
    <w:uiPriority w:val="99"/>
    <w:semiHidden/>
    <w:unhideWhenUsed/>
    <w:rsid w:val="001E44A9"/>
    <w:rPr>
      <w:vertAlign w:val="superscript"/>
    </w:rPr>
  </w:style>
  <w:style w:type="character" w:styleId="Hyperlink">
    <w:name w:val="Hyperlink"/>
    <w:basedOn w:val="DefaultParagraphFont"/>
    <w:uiPriority w:val="99"/>
    <w:unhideWhenUsed/>
    <w:rsid w:val="00871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649">
      <w:bodyDiv w:val="1"/>
      <w:marLeft w:val="0"/>
      <w:marRight w:val="0"/>
      <w:marTop w:val="0"/>
      <w:marBottom w:val="0"/>
      <w:divBdr>
        <w:top w:val="none" w:sz="0" w:space="0" w:color="auto"/>
        <w:left w:val="none" w:sz="0" w:space="0" w:color="auto"/>
        <w:bottom w:val="none" w:sz="0" w:space="0" w:color="auto"/>
        <w:right w:val="none" w:sz="0" w:space="0" w:color="auto"/>
      </w:divBdr>
    </w:div>
    <w:div w:id="517817612">
      <w:bodyDiv w:val="1"/>
      <w:marLeft w:val="0"/>
      <w:marRight w:val="0"/>
      <w:marTop w:val="0"/>
      <w:marBottom w:val="0"/>
      <w:divBdr>
        <w:top w:val="none" w:sz="0" w:space="0" w:color="auto"/>
        <w:left w:val="none" w:sz="0" w:space="0" w:color="auto"/>
        <w:bottom w:val="none" w:sz="0" w:space="0" w:color="auto"/>
        <w:right w:val="none" w:sz="0" w:space="0" w:color="auto"/>
      </w:divBdr>
    </w:div>
    <w:div w:id="1167133318">
      <w:bodyDiv w:val="1"/>
      <w:marLeft w:val="0"/>
      <w:marRight w:val="0"/>
      <w:marTop w:val="0"/>
      <w:marBottom w:val="0"/>
      <w:divBdr>
        <w:top w:val="none" w:sz="0" w:space="0" w:color="auto"/>
        <w:left w:val="none" w:sz="0" w:space="0" w:color="auto"/>
        <w:bottom w:val="none" w:sz="0" w:space="0" w:color="auto"/>
        <w:right w:val="none" w:sz="0" w:space="0" w:color="auto"/>
      </w:divBdr>
    </w:div>
    <w:div w:id="18854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3.png"/><Relationship Id="rId26" Type="http://schemas.openxmlformats.org/officeDocument/2006/relationships/image" Target="media/image7.png"/><Relationship Id="rId39" Type="http://schemas.microsoft.com/office/2014/relationships/chartEx" Target="charts/chartEx14.xml"/><Relationship Id="rId21" Type="http://schemas.microsoft.com/office/2014/relationships/chartEx" Target="charts/chartEx5.xm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image" Target="media/image2.emf"/><Relationship Id="rId50" Type="http://schemas.openxmlformats.org/officeDocument/2006/relationships/image" Target="media/image20.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3.png"/><Relationship Id="rId29" Type="http://schemas.microsoft.com/office/2014/relationships/chartEx" Target="charts/chartEx9.xml"/><Relationship Id="rId24" Type="http://schemas.openxmlformats.org/officeDocument/2006/relationships/image" Target="media/image6.png"/><Relationship Id="rId32" Type="http://schemas.openxmlformats.org/officeDocument/2006/relationships/image" Target="media/image10.png"/><Relationship Id="rId37" Type="http://schemas.microsoft.com/office/2014/relationships/chartEx" Target="charts/chartEx13.xml"/><Relationship Id="rId40" Type="http://schemas.openxmlformats.org/officeDocument/2006/relationships/image" Target="media/image14.png"/><Relationship Id="rId45" Type="http://schemas.microsoft.com/office/2014/relationships/chartEx" Target="charts/chartEx17.xml"/><Relationship Id="rId53" Type="http://schemas.openxmlformats.org/officeDocument/2006/relationships/hyperlink" Target="https://itt.abs.gov.au/itt/r.jsp?databyregion" TargetMode="External"/><Relationship Id="rId58" Type="http://schemas.openxmlformats.org/officeDocument/2006/relationships/footer" Target="footer2.xml"/><Relationship Id="rId11"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fontTable" Target="fontTable.xml"/><Relationship Id="rId19" Type="http://schemas.microsoft.com/office/2014/relationships/chartEx" Target="charts/chartEx4.xm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image" Target="media/image2.png"/><Relationship Id="rId22" Type="http://schemas.openxmlformats.org/officeDocument/2006/relationships/image" Target="media/image5.png"/><Relationship Id="rId27" Type="http://schemas.microsoft.com/office/2014/relationships/chartEx" Target="charts/chartEx8.xml"/><Relationship Id="rId30" Type="http://schemas.openxmlformats.org/officeDocument/2006/relationships/image" Target="media/image9.png"/><Relationship Id="rId35" Type="http://schemas.microsoft.com/office/2014/relationships/chartEx" Target="charts/chartEx12.xml"/><Relationship Id="rId43" Type="http://schemas.microsoft.com/office/2014/relationships/chartEx" Target="charts/chartEx16.xml"/><Relationship Id="rId48" Type="http://schemas.openxmlformats.org/officeDocument/2006/relationships/image" Target="media/image18.png"/><Relationship Id="rId56"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image" Target="media/image21.png"/><Relationship Id="rId3" Type="http://schemas.openxmlformats.org/officeDocument/2006/relationships/styles" Target="styles.xml"/><Relationship Id="rId17" Type="http://schemas.microsoft.com/office/2014/relationships/chartEx" Target="charts/chartEx3.xml"/><Relationship Id="rId25" Type="http://schemas.microsoft.com/office/2014/relationships/chartEx" Target="charts/chartEx7.xml"/><Relationship Id="rId33" Type="http://schemas.microsoft.com/office/2014/relationships/chartEx" Target="charts/chartEx11.xm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header" Target="header3.xml"/><Relationship Id="rId20" Type="http://schemas.openxmlformats.org/officeDocument/2006/relationships/image" Target="media/image4.png"/><Relationship Id="rId41" Type="http://schemas.microsoft.com/office/2014/relationships/chartEx" Target="charts/chartEx15.xml"/><Relationship Id="rId54" Type="http://schemas.openxmlformats.org/officeDocument/2006/relationships/hyperlink" Target="https://www.mla.com.au/prices-marke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4/relationships/chartEx" Target="charts/chartEx2.xml"/><Relationship Id="rId23" Type="http://schemas.microsoft.com/office/2014/relationships/chartEx" Target="charts/chartEx6.xm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media/image19.png"/><Relationship Id="rId57" Type="http://schemas.openxmlformats.org/officeDocument/2006/relationships/footer" Target="footer1.xml"/><Relationship Id="rId31" Type="http://schemas.microsoft.com/office/2014/relationships/chartEx" Target="charts/chartEx10.xml"/><Relationship Id="rId44" Type="http://schemas.openxmlformats.org/officeDocument/2006/relationships/image" Target="media/image16.png"/><Relationship Id="rId52" Type="http://schemas.openxmlformats.org/officeDocument/2006/relationships/image" Target="media/image22.emf"/><Relationship Id="rId60" Type="http://schemas.openxmlformats.org/officeDocument/2006/relationships/footer" Target="footer3.xml"/><Relationship Id="rId10" Type="http://schemas.microsoft.com/office/2016/09/relationships/commentsIds" Target="commentsIds.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26176\Dropbox\Consult%20Coot%20Gundagai\Financial%20Sustainability%20Review\6.3.20%20CootaGund%20FS%20Review.xlsx" TargetMode="External"/><Relationship Id="rId4" Type="http://schemas.openxmlformats.org/officeDocument/2006/relationships/themeOverride" Target="../theme/themeOverride1.xml"/></Relationships>
</file>

<file path=word/charts/_rels/chartEx10.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6.xml"/></Relationships>
</file>

<file path=word/charts/_rels/chartEx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7.xml"/></Relationships>
</file>

<file path=word/charts/_rels/chartEx12.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8.xml"/></Relationships>
</file>

<file path=word/charts/_rels/chartEx1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9.xml"/></Relationships>
</file>

<file path=word/charts/_rels/chartEx1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10.xml"/></Relationships>
</file>

<file path=word/charts/_rels/chartEx15.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11.xml"/></Relationships>
</file>

<file path=word/charts/_rels/chartEx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12.xml"/></Relationships>
</file>

<file path=word/charts/_rels/chartEx17.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13.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2.xm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ana\Desktop\16.12.20%20Capacity%20Data.xlsx" TargetMode="External"/><Relationship Id="rId4" Type="http://schemas.openxmlformats.org/officeDocument/2006/relationships/themeOverride" Target="../theme/themeOverride3.xm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4.xml"/></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ana\Desktop\16.12.20%20Capacity%20Data.xlsx" TargetMode="External"/></Relationships>
</file>

<file path=word/charts/_rels/chartEx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Dana\Desktop\16.12.20%20Capacity%20Data.xlsx" TargetMode="External"/></Relationships>
</file>

<file path=word/charts/_rels/chartEx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Dana\Desktop\16.12.20%20Capacity%20Data.xlsx" TargetMode="External"/></Relationships>
</file>

<file path=word/charts/_rels/chartEx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Dana\Desktop\16.12.20%20Capacity%20Data.xlsx" TargetMode="External"/></Relationships>
</file>

<file path=word/charts/_rels/chartEx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Dana\Desktop\17.12.20%20Capcity%20Data.xlsx" TargetMode="External"/><Relationship Id="rId4" Type="http://schemas.openxmlformats.org/officeDocument/2006/relationships/themeOverride" Target="../theme/themeOverride5.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Graphs!$C$642:$C$657</cx:f>
        <cx:lvl ptCount="16" formatCode="General">
          <cx:pt idx="0">18.491936912989544</cx:pt>
          <cx:pt idx="1">12.205504587155962</cx:pt>
          <cx:pt idx="2">17.86475183460901</cx:pt>
          <cx:pt idx="3">12.455990103720621</cx:pt>
          <cx:pt idx="4">15.593652141606071</cx:pt>
          <cx:pt idx="5">12.629181993343844</cx:pt>
          <cx:pt idx="6">19.046016656852025</cx:pt>
          <cx:pt idx="7">11.519916920109784</cx:pt>
          <cx:pt idx="8">13.026896828582899</cx:pt>
          <cx:pt idx="9">15.378311936629336</cx:pt>
          <cx:pt idx="10">12.16600735651329</cx:pt>
          <cx:pt idx="11">8.1789752225162378</cx:pt>
          <cx:pt idx="12">13.38086552810479</cx:pt>
          <cx:pt idx="13">10.290931600123802</cx:pt>
          <cx:pt idx="14">16.581141757536884</cx:pt>
        </cx:lvl>
      </cx:numDim>
    </cx:data>
    <cx:data id="1">
      <cx:numDim type="val">
        <cx:f>Graphs!$D$642</cx:f>
        <cx:lvl ptCount="1" formatCode="General">
          <cx:pt idx="0">18.491936912989544</cx:pt>
        </cx:lvl>
      </cx:numDim>
    </cx:data>
  </cx:chartData>
  <cx:chart>
    <cx:plotArea>
      <cx:plotAreaRegion>
        <cx:series layoutId="boxWhisker" uniqueId="{00000001-464D-4744-B626-803B7345E94C}" formatIdx="1">
          <cx:tx>
            <cx:txData>
              <cx:f>Graphs!$C$641</cx:f>
              <cx:v>2017</cx:v>
            </cx:txData>
          </cx:tx>
          <cx:spPr>
            <a:solidFill>
              <a:srgbClr val="FFC000"/>
            </a:solidFill>
          </cx:spPr>
          <cx:dataId val="0"/>
          <cx:layoutPr>
            <cx:statistics quartileMethod="exclusive"/>
          </cx:layoutPr>
        </cx:series>
        <cx:series layoutId="boxWhisker" uniqueId="{00000000-BBA4-4587-90F5-55823230BAB6}" formatIdx="3">
          <cx:tx>
            <cx:txData>
              <cx:f>Graphs!$D$641</cx:f>
              <cx:v>Cootamundra-Gundagai</cx:v>
            </cx:txData>
          </cx:tx>
          <cx:spPr>
            <a:solidFill>
              <a:srgbClr val="FFC000"/>
            </a:solidFill>
            <a:ln>
              <a:solidFill>
                <a:srgbClr val="FFC000"/>
              </a:solidFill>
            </a:ln>
          </cx:spPr>
          <cx:dataId val="1"/>
          <cx:layoutPr>
            <cx:statistics quartileMethod="exclusive"/>
          </cx:layoutPr>
        </cx:series>
      </cx:plotAreaRegion>
      <cx:axis id="0" hidden="1">
        <cx:catScaling gapWidth="0.0500000007"/>
        <cx:tickLabels/>
      </cx:axis>
      <cx:axis id="1">
        <cx:valScaling min="8"/>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0.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Graphs!$B$1050:$B$1068</cx:f>
        <cx:lvl ptCount="19" formatCode="General">
          <cx:pt idx="0">43854</cx:pt>
          <cx:pt idx="1">43855</cx:pt>
          <cx:pt idx="2">49753</cx:pt>
          <cx:pt idx="3">41230</cx:pt>
          <cx:pt idx="4">44643</cx:pt>
          <cx:pt idx="5">43819</cx:pt>
          <cx:pt idx="6">53134</cx:pt>
          <cx:pt idx="7">41723</cx:pt>
          <cx:pt idx="8">42019</cx:pt>
          <cx:pt idx="9">47018</cx:pt>
          <cx:pt idx="10">45772</cx:pt>
          <cx:pt idx="11">43627</cx:pt>
          <cx:pt idx="12">68254</cx:pt>
          <cx:pt idx="13">42522</cx:pt>
          <cx:pt idx="14">49292</cx:pt>
          <cx:pt idx="15">49013</cx:pt>
          <cx:pt idx="16">48922</cx:pt>
          <cx:pt idx="17">56531</cx:pt>
          <cx:pt idx="18">63190</cx:pt>
        </cx:lvl>
      </cx:numDim>
    </cx:data>
    <cx:data id="1">
      <cx:numDim type="val">
        <cx:f>Graphs!$C$1050</cx:f>
        <cx:lvl ptCount="1" formatCode="General">
          <cx:pt idx="0">43854</cx:pt>
        </cx:lvl>
      </cx:numDim>
    </cx:data>
    <cx:data id="2">
      <cx:numDim type="val">
        <cx:f>Graphs!$D$1050:$D$1068</cx:f>
        <cx:lvl ptCount="19" formatCode="General">
          <cx:pt idx="0">45568</cx:pt>
          <cx:pt idx="1">45694</cx:pt>
          <cx:pt idx="2">51903</cx:pt>
          <cx:pt idx="3">42984</cx:pt>
          <cx:pt idx="4">46249</cx:pt>
          <cx:pt idx="5">45672</cx:pt>
          <cx:pt idx="6">55618</cx:pt>
          <cx:pt idx="7">43633</cx:pt>
          <cx:pt idx="8">43637</cx:pt>
          <cx:pt idx="9">48701</cx:pt>
          <cx:pt idx="10">48248</cx:pt>
          <cx:pt idx="11">45737</cx:pt>
          <cx:pt idx="12">68390</cx:pt>
          <cx:pt idx="13">44054</cx:pt>
          <cx:pt idx="14">50962</cx:pt>
          <cx:pt idx="15">50650</cx:pt>
          <cx:pt idx="16">50491</cx:pt>
          <cx:pt idx="17">59852</cx:pt>
          <cx:pt idx="18">66321</cx:pt>
        </cx:lvl>
      </cx:numDim>
    </cx:data>
    <cx:data id="3">
      <cx:numDim type="val">
        <cx:f>Graphs!$E$1050</cx:f>
        <cx:lvl ptCount="1" formatCode="General">
          <cx:pt idx="0">45568</cx:pt>
        </cx:lvl>
      </cx:numDim>
    </cx:data>
    <cx:data id="4">
      <cx:numDim type="val">
        <cx:f>Graphs!$F$1050:$F$1068</cx:f>
        <cx:lvl ptCount="19" formatCode="General">
          <cx:pt idx="0">45888</cx:pt>
          <cx:pt idx="1">46186</cx:pt>
          <cx:pt idx="2">53479</cx:pt>
          <cx:pt idx="3">43834</cx:pt>
          <cx:pt idx="4">46855</cx:pt>
          <cx:pt idx="5">46271</cx:pt>
          <cx:pt idx="6">57094</cx:pt>
          <cx:pt idx="7">43935</cx:pt>
          <cx:pt idx="8">44002</cx:pt>
          <cx:pt idx="9">48993</cx:pt>
          <cx:pt idx="10">49132</cx:pt>
          <cx:pt idx="11">47175</cx:pt>
          <cx:pt idx="12">67720</cx:pt>
          <cx:pt idx="13">43798</cx:pt>
          <cx:pt idx="14">52966</cx:pt>
          <cx:pt idx="15">51432</cx:pt>
          <cx:pt idx="16">51723</cx:pt>
          <cx:pt idx="17">59016</cx:pt>
          <cx:pt idx="18">66870</cx:pt>
        </cx:lvl>
      </cx:numDim>
    </cx:data>
    <cx:data id="5">
      <cx:numDim type="val">
        <cx:f>Graphs!$G$1050</cx:f>
        <cx:lvl ptCount="1" formatCode="General">
          <cx:pt idx="0">45888</cx:pt>
        </cx:lvl>
      </cx:numDim>
    </cx:data>
  </cx:chartData>
  <cx:chart>
    <cx:plotArea>
      <cx:plotAreaRegion>
        <cx:series layoutId="boxWhisker" uniqueId="{00000000-F0F7-4B7E-B78F-9D64EBAFF6AE}">
          <cx:tx>
            <cx:txData>
              <cx:f>Graphs!$B$1049</cx:f>
              <cx:v>2015</cx:v>
            </cx:txData>
          </cx:tx>
          <cx:dataId val="0"/>
          <cx:layoutPr>
            <cx:statistics quartileMethod="exclusive"/>
          </cx:layoutPr>
        </cx:series>
        <cx:series layoutId="boxWhisker" uniqueId="{00000001-F0F7-4B7E-B78F-9D64EBAFF6AE}">
          <cx:tx>
            <cx:txData>
              <cx:f>Graphs!$C$1049</cx:f>
              <cx:v>Cootamundra-Gundagai</cx:v>
            </cx:txData>
          </cx:tx>
          <cx:spPr>
            <a:solidFill>
              <a:schemeClr val="accent1"/>
            </a:solidFill>
            <a:ln>
              <a:solidFill>
                <a:schemeClr val="accent1"/>
              </a:solidFill>
            </a:ln>
          </cx:spPr>
          <cx:dataId val="1"/>
          <cx:layoutPr>
            <cx:statistics quartileMethod="exclusive"/>
          </cx:layoutPr>
        </cx:series>
        <cx:series layoutId="boxWhisker" uniqueId="{00000002-F0F7-4B7E-B78F-9D64EBAFF6AE}">
          <cx:tx>
            <cx:txData>
              <cx:f>Graphs!$D$1049</cx:f>
              <cx:v>2016</cx:v>
            </cx:txData>
          </cx:tx>
          <cx:spPr>
            <a:solidFill>
              <a:schemeClr val="accent4"/>
            </a:solidFill>
            <a:ln>
              <a:solidFill>
                <a:schemeClr val="accent2">
                  <a:lumMod val="75000"/>
                </a:schemeClr>
              </a:solidFill>
            </a:ln>
          </cx:spPr>
          <cx:dataId val="2"/>
          <cx:layoutPr>
            <cx:statistics quartileMethod="exclusive"/>
          </cx:layoutPr>
        </cx:series>
        <cx:series layoutId="boxWhisker" uniqueId="{00000003-F0F7-4B7E-B78F-9D64EBAFF6AE}">
          <cx:tx>
            <cx:txData>
              <cx:f>Graphs!$E$1049</cx:f>
              <cx:v>Cootamundra-Gundagai</cx:v>
            </cx:txData>
          </cx:tx>
          <cx:spPr>
            <a:solidFill>
              <a:srgbClr val="FFC000"/>
            </a:solidFill>
            <a:ln>
              <a:solidFill>
                <a:schemeClr val="accent2"/>
              </a:solidFill>
            </a:ln>
          </cx:spPr>
          <cx:dataId val="3"/>
          <cx:layoutPr>
            <cx:statistics quartileMethod="exclusive"/>
          </cx:layoutPr>
        </cx:series>
        <cx:series layoutId="boxWhisker" uniqueId="{00000004-F0F7-4B7E-B78F-9D64EBAFF6AE}">
          <cx:tx>
            <cx:txData>
              <cx:f>Graphs!$F$1049</cx:f>
              <cx:v>2017</cx:v>
            </cx:txData>
          </cx:tx>
          <cx:spPr>
            <a:solidFill>
              <a:schemeClr val="accent6"/>
            </a:solidFill>
            <a:ln>
              <a:solidFill>
                <a:schemeClr val="accent1"/>
              </a:solidFill>
            </a:ln>
          </cx:spPr>
          <cx:dataId val="4"/>
          <cx:layoutPr>
            <cx:statistics quartileMethod="exclusive"/>
          </cx:layoutPr>
        </cx:series>
        <cx:series layoutId="boxWhisker" uniqueId="{00000005-F0F7-4B7E-B78F-9D64EBAFF6AE}">
          <cx:tx>
            <cx:txData>
              <cx:f>Graphs!$G$1049</cx:f>
              <cx:v>Cootamundra-Gundagai</cx:v>
            </cx:txData>
          </cx:tx>
          <cx:dataId val="5"/>
          <cx:layoutPr>
            <cx:statistics quartileMethod="exclusive"/>
          </cx:layoutPr>
        </cx:series>
      </cx:plotAreaRegion>
      <cx:axis id="0" hidden="1">
        <cx:catScaling gapWidth="0.0500000007"/>
        <cx:tickLabels/>
      </cx:axis>
      <cx:axis id="1">
        <cx:valScaling min="3500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Graphs!$B$658:$B$676</cx:f>
        <cx:lvl ptCount="19" formatCode="General">
          <cx:pt idx="0">4.8600000000000003</cx:pt>
          <cx:pt idx="1">6.3499999999999996</cx:pt>
          <cx:pt idx="2">5.25</cx:pt>
          <cx:pt idx="3">5.2000000000000002</cx:pt>
          <cx:pt idx="4">5.4800000000000004</cx:pt>
          <cx:pt idx="5">5.3300000000000001</cx:pt>
          <cx:pt idx="6">5.6500000000000004</cx:pt>
          <cx:pt idx="7">4.7699999999999996</cx:pt>
          <cx:pt idx="8">4.9199999999999999</cx:pt>
          <cx:pt idx="9">4.3399999999999999</cx:pt>
          <cx:pt idx="10">4.8899999999999997</cx:pt>
          <cx:pt idx="11">5.6399999999999997</cx:pt>
          <cx:pt idx="12">6.0199999999999996</cx:pt>
          <cx:pt idx="13">6.4400000000000004</cx:pt>
          <cx:pt idx="14">5.4199999999999999</cx:pt>
          <cx:pt idx="15">5.3899999999999997</cx:pt>
          <cx:pt idx="16">4.5999999999999996</cx:pt>
          <cx:pt idx="17">5.5899999999999999</cx:pt>
          <cx:pt idx="18">4.7400000000000002</cx:pt>
        </cx:lvl>
      </cx:numDim>
    </cx:data>
    <cx:data id="1">
      <cx:numDim type="val">
        <cx:f>Graphs!$C$658</cx:f>
        <cx:lvl ptCount="1" formatCode="General">
          <cx:pt idx="0">4.8600000000000003</cx:pt>
        </cx:lvl>
      </cx:numDim>
    </cx:data>
    <cx:data id="2">
      <cx:numDim type="val">
        <cx:f>Graphs!$D$658:$D$676</cx:f>
        <cx:lvl ptCount="19" formatCode="General">
          <cx:pt idx="0">5.4299999999999997</cx:pt>
          <cx:pt idx="1">6.1100000000000003</cx:pt>
          <cx:pt idx="2">5.25</cx:pt>
          <cx:pt idx="3">5.3399999999999999</cx:pt>
          <cx:pt idx="4">5.8200000000000003</cx:pt>
          <cx:pt idx="5">5.21</cx:pt>
          <cx:pt idx="6">5.7300000000000004</cx:pt>
          <cx:pt idx="7">4.9000000000000004</cx:pt>
          <cx:pt idx="8">4.8899999999999997</cx:pt>
          <cx:pt idx="9">4.4699999999999998</cx:pt>
          <cx:pt idx="10">4.54</cx:pt>
          <cx:pt idx="11">5.7300000000000004</cx:pt>
          <cx:pt idx="12">5.9100000000000001</cx:pt>
          <cx:pt idx="13">6.5700000000000003</cx:pt>
          <cx:pt idx="14">5.1600000000000001</cx:pt>
          <cx:pt idx="15">5.46</cx:pt>
          <cx:pt idx="16">4.8600000000000003</cx:pt>
          <cx:pt idx="17">5.6799999999999997</cx:pt>
          <cx:pt idx="18">4.9199999999999999</cx:pt>
        </cx:lvl>
      </cx:numDim>
    </cx:data>
    <cx:data id="3">
      <cx:numDim type="val">
        <cx:f>Graphs!$E$658</cx:f>
        <cx:lvl ptCount="1" formatCode="General">
          <cx:pt idx="0">5.4299999999999997</cx:pt>
        </cx:lvl>
      </cx:numDim>
    </cx:data>
    <cx:data id="4">
      <cx:numDim type="val">
        <cx:f>Graphs!$F$658:$F$676</cx:f>
        <cx:lvl ptCount="19" formatCode="General">
          <cx:pt idx="0">5.1399999999999997</cx:pt>
          <cx:pt idx="1">6.5700000000000003</cx:pt>
          <cx:pt idx="2">5.3399999999999999</cx:pt>
          <cx:pt idx="3">5.3899999999999997</cx:pt>
          <cx:pt idx="4">5.7400000000000002</cx:pt>
          <cx:pt idx="5">5.2199999999999998</cx:pt>
          <cx:pt idx="6">5.5700000000000003</cx:pt>
          <cx:pt idx="7">4.7199999999999998</cx:pt>
          <cx:pt idx="8">4.9900000000000002</cx:pt>
          <cx:pt idx="9">4.5199999999999996</cx:pt>
          <cx:pt idx="10">4.46</cx:pt>
          <cx:pt idx="11">5.8099999999999996</cx:pt>
          <cx:pt idx="12">5.6799999999999997</cx:pt>
          <cx:pt idx="13">6.8300000000000001</cx:pt>
          <cx:pt idx="14">5</cx:pt>
          <cx:pt idx="15">5.2999999999999998</cx:pt>
          <cx:pt idx="16">4.9500000000000002</cx:pt>
          <cx:pt idx="17">5.3600000000000003</cx:pt>
          <cx:pt idx="18">4.8099999999999996</cx:pt>
        </cx:lvl>
      </cx:numDim>
    </cx:data>
    <cx:data id="5">
      <cx:numDim type="val">
        <cx:f>Graphs!$G$658</cx:f>
        <cx:lvl ptCount="1" formatCode="General">
          <cx:pt idx="0">5.1399999999999997</cx:pt>
        </cx:lvl>
      </cx:numDim>
    </cx:data>
  </cx:chartData>
  <cx:chart>
    <cx:plotArea>
      <cx:plotAreaRegion>
        <cx:series layoutId="boxWhisker" uniqueId="{00000002-BB3F-48FA-8CB8-8BBBB1763402}" formatIdx="2">
          <cx:tx>
            <cx:txData>
              <cx:f>Graphs!$B$657</cx:f>
              <cx:v>2015</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Graphs!$C$657</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Graphs!$D$657</cx:f>
              <cx:v>2016</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Graphs!$E$657</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Graphs!$F$657</cx:f>
              <cx:v>2017</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Graphs!$G$657</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plotAreaRegion>
      <cx:axis id="0" hidden="1">
        <cx:catScaling gapWidth="0.0500000007"/>
        <cx:tickLabels/>
      </cx:axis>
      <cx:axis id="1">
        <cx:valScaling max="7.5" min="3.5"/>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Graphs!$B$682:$B$700</cx:f>
        <cx:lvl ptCount="19" formatCode="General">
          <cx:pt idx="0">0.46600000000000003</cx:pt>
          <cx:pt idx="1">0.497</cx:pt>
          <cx:pt idx="2">0.48899999999999999</cx:pt>
          <cx:pt idx="3">0.46999999999999997</cx:pt>
          <cx:pt idx="4">0.46600000000000003</cx:pt>
          <cx:pt idx="5">0.47799999999999998</cx:pt>
          <cx:pt idx="6">0.48599999999999999</cx:pt>
          <cx:pt idx="7">0.46500000000000002</cx:pt>
          <cx:pt idx="8">0.47399999999999998</cx:pt>
          <cx:pt idx="9">0.42699999999999999</cx:pt>
          <cx:pt idx="10">0.59099999999999997</cx:pt>
          <cx:pt idx="11">0.48899999999999999</cx:pt>
          <cx:pt idx="12">0.46400000000000002</cx:pt>
          <cx:pt idx="13">0.49199999999999999</cx:pt>
          <cx:pt idx="14">0.505</cx:pt>
          <cx:pt idx="15">0.45500000000000002</cx:pt>
          <cx:pt idx="16">0.432</cx:pt>
          <cx:pt idx="17">0.56699999999999995</cx:pt>
          <cx:pt idx="18">0.45200000000000001</cx:pt>
        </cx:lvl>
      </cx:numDim>
    </cx:data>
    <cx:data id="1">
      <cx:numDim type="val">
        <cx:f>Graphs!$C$682</cx:f>
        <cx:lvl ptCount="1" formatCode="General">
          <cx:pt idx="0">0.46600000000000003</cx:pt>
        </cx:lvl>
      </cx:numDim>
    </cx:data>
    <cx:data id="2">
      <cx:numDim type="val">
        <cx:f>Graphs!$D$682:$D$700</cx:f>
        <cx:lvl ptCount="19" formatCode="General">
          <cx:pt idx="0">0.47499999999999998</cx:pt>
          <cx:pt idx="1">0.49199999999999999</cx:pt>
          <cx:pt idx="2">0.49199999999999999</cx:pt>
          <cx:pt idx="3">0.48099999999999998</cx:pt>
          <cx:pt idx="4">0.47099999999999997</cx:pt>
          <cx:pt idx="5">0.47299999999999998</cx:pt>
          <cx:pt idx="6">0.49299999999999999</cx:pt>
          <cx:pt idx="7">0.47199999999999998</cx:pt>
          <cx:pt idx="8">0.46600000000000003</cx:pt>
          <cx:pt idx="9">0.42299999999999999</cx:pt>
          <cx:pt idx="10">0.56899999999999995</cx:pt>
          <cx:pt idx="11">0.49199999999999999</cx:pt>
          <cx:pt idx="12">0.46300000000000002</cx:pt>
          <cx:pt idx="13">0.48499999999999999</cx:pt>
          <cx:pt idx="14">0.48999999999999999</cx:pt>
          <cx:pt idx="15">0.46500000000000002</cx:pt>
          <cx:pt idx="16">0.443</cx:pt>
          <cx:pt idx="17">0.497</cx:pt>
          <cx:pt idx="18">0.45900000000000002</cx:pt>
        </cx:lvl>
      </cx:numDim>
    </cx:data>
    <cx:data id="3">
      <cx:numDim type="val">
        <cx:f>Graphs!$E$682</cx:f>
        <cx:lvl ptCount="1" formatCode="General">
          <cx:pt idx="0">0.47499999999999998</cx:pt>
        </cx:lvl>
      </cx:numDim>
    </cx:data>
    <cx:data id="4">
      <cx:numDim type="val">
        <cx:f>Graphs!$F$682:$F$700</cx:f>
        <cx:lvl ptCount="19" formatCode="General">
          <cx:pt idx="0">0.47799999999999998</cx:pt>
          <cx:pt idx="1">0.496</cx:pt>
          <cx:pt idx="2">0.496</cx:pt>
          <cx:pt idx="3">0.48199999999999998</cx:pt>
          <cx:pt idx="4">0.47199999999999998</cx:pt>
          <cx:pt idx="5">0.47699999999999998</cx:pt>
          <cx:pt idx="6">0.47799999999999998</cx:pt>
          <cx:pt idx="7">0.47199999999999998</cx:pt>
          <cx:pt idx="8">0.47599999999999998</cx:pt>
          <cx:pt idx="9">0.42999999999999999</cx:pt>
          <cx:pt idx="10">0.53400000000000003</cx:pt>
          <cx:pt idx="11">0.50800000000000001</cx:pt>
          <cx:pt idx="12">0.46100000000000002</cx:pt>
          <cx:pt idx="13">0.48899999999999999</cx:pt>
          <cx:pt idx="14">0.48799999999999999</cx:pt>
          <cx:pt idx="15">0.46500000000000002</cx:pt>
          <cx:pt idx="16">0.44700000000000001</cx:pt>
          <cx:pt idx="17">0.48899999999999999</cx:pt>
          <cx:pt idx="18">0.45600000000000002</cx:pt>
        </cx:lvl>
      </cx:numDim>
    </cx:data>
    <cx:data id="5">
      <cx:numDim type="val">
        <cx:f>Graphs!$G$682</cx:f>
        <cx:lvl ptCount="1" formatCode="General">
          <cx:pt idx="0">0.47799999999999998</cx:pt>
        </cx:lvl>
      </cx:numDim>
    </cx:data>
  </cx:chartData>
  <cx:chart>
    <cx:plotArea>
      <cx:plotAreaRegion>
        <cx:series layoutId="boxWhisker" uniqueId="{00000002-BB3F-48FA-8CB8-8BBBB1763402}" formatIdx="2">
          <cx:tx>
            <cx:txData>
              <cx:f>Graphs!$B$681</cx:f>
              <cx:v>2015</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Graphs!$C$681</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Graphs!$D$681</cx:f>
              <cx:v>2016</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Graphs!$E$681</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Graphs!$F$681</cx:f>
              <cx:v>2017</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Graphs!$G$681</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plotAreaRegion>
      <cx:axis id="0" hidden="1">
        <cx:catScaling gapWidth="0.0500000007"/>
        <cx:tickLabels/>
      </cx:axis>
      <cx:axis id="1">
        <cx:valScaling max="0.60000000000000009" min="0.40000000000000002"/>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Graphs!$B$705:$B$723</cx:f>
        <cx:lvl ptCount="19" formatCode="General">
          <cx:pt idx="0">554</cx:pt>
          <cx:pt idx="1">532</cx:pt>
          <cx:pt idx="2">658</cx:pt>
          <cx:pt idx="3">530</cx:pt>
          <cx:pt idx="4">579</cx:pt>
          <cx:pt idx="5">606</cx:pt>
          <cx:pt idx="6">610</cx:pt>
          <cx:pt idx="7">542</cx:pt>
          <cx:pt idx="8">538</cx:pt>
          <cx:pt idx="9">628</cx:pt>
          <cx:pt idx="10">686</cx:pt>
          <cx:pt idx="11">575</cx:pt>
          <cx:pt idx="12">871</cx:pt>
          <cx:pt idx="13">481</cx:pt>
          <cx:pt idx="14">651</cx:pt>
          <cx:pt idx="15">574</cx:pt>
          <cx:pt idx="16">617</cx:pt>
          <cx:pt idx="17">707</cx:pt>
          <cx:pt idx="18">954</cx:pt>
        </cx:lvl>
      </cx:numDim>
    </cx:data>
    <cx:data id="1">
      <cx:numDim type="val">
        <cx:f>Graphs!$C$705</cx:f>
        <cx:lvl ptCount="1" formatCode="General">
          <cx:pt idx="0">554</cx:pt>
        </cx:lvl>
      </cx:numDim>
    </cx:data>
    <cx:data id="2">
      <cx:numDim type="val">
        <cx:f>Graphs!$D$705:$D$723</cx:f>
        <cx:lvl ptCount="19" formatCode="General">
          <cx:pt idx="0">647</cx:pt>
          <cx:pt idx="1">638</cx:pt>
          <cx:pt idx="2">790</cx:pt>
          <cx:pt idx="3">629</cx:pt>
          <cx:pt idx="4">677</cx:pt>
          <cx:pt idx="5">723</cx:pt>
          <cx:pt idx="6">782</cx:pt>
          <cx:pt idx="7">646</cx:pt>
          <cx:pt idx="8">619</cx:pt>
          <cx:pt idx="9">759</cx:pt>
          <cx:pt idx="10">791</cx:pt>
          <cx:pt idx="11">692</cx:pt>
          <cx:pt idx="12">850</cx:pt>
          <cx:pt idx="13">564</cx:pt>
          <cx:pt idx="14">771</cx:pt>
          <cx:pt idx="15">695</cx:pt>
          <cx:pt idx="16">723</cx:pt>
          <cx:pt idx="17">794</cx:pt>
          <cx:pt idx="18">1098</cx:pt>
        </cx:lvl>
      </cx:numDim>
    </cx:data>
    <cx:data id="3">
      <cx:numDim type="val">
        <cx:f>Graphs!$E$705</cx:f>
        <cx:lvl ptCount="1" formatCode="General">
          <cx:pt idx="0">647</cx:pt>
        </cx:lvl>
      </cx:numDim>
    </cx:data>
  </cx:chartData>
  <cx:chart>
    <cx:plotArea>
      <cx:plotAreaRegion>
        <cx:series layoutId="boxWhisker" uniqueId="{00000002-BB3F-48FA-8CB8-8BBBB1763402}" formatIdx="2">
          <cx:tx>
            <cx:txData>
              <cx:f>Graphs!$B$704</cx:f>
              <cx:v>2011</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Graphs!$C$704</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Graphs!$D$704</cx:f>
              <cx:v>2016</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Graphs!$E$704</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plotAreaRegion>
      <cx:axis id="0" hidden="1">
        <cx:catScaling gapWidth="0.0500000007"/>
        <cx:tickLabels/>
      </cx:axis>
      <cx:axis id="1">
        <cx:valScaling min="400"/>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Graphs!$B$728:$B$746</cx:f>
        <cx:lvl ptCount="19" formatCode="General">
          <cx:pt idx="0">5.0999999999999996</cx:pt>
          <cx:pt idx="1">8</cx:pt>
          <cx:pt idx="2">7.9000000000000004</cx:pt>
          <cx:pt idx="3">5.7999999999999998</cx:pt>
          <cx:pt idx="4">6.4000000000000004</cx:pt>
          <cx:pt idx="5">7.5</cx:pt>
          <cx:pt idx="6">5.2000000000000002</cx:pt>
          <cx:pt idx="7">6.4000000000000004</cx:pt>
          <cx:pt idx="8">6.7999999999999998</cx:pt>
          <cx:pt idx="9">6.2999999999999998</cx:pt>
          <cx:pt idx="10">4.7000000000000002</cx:pt>
          <cx:pt idx="11">5.9000000000000004</cx:pt>
          <cx:pt idx="12">5.9000000000000004</cx:pt>
          <cx:pt idx="13">7.5999999999999996</cx:pt>
          <cx:pt idx="14">5.5</cx:pt>
          <cx:pt idx="15">5.7999999999999998</cx:pt>
          <cx:pt idx="16">6</cx:pt>
          <cx:pt idx="17">6.5</cx:pt>
          <cx:pt idx="18">9.5</cx:pt>
        </cx:lvl>
      </cx:numDim>
    </cx:data>
    <cx:data id="1">
      <cx:numDim type="val">
        <cx:f>Graphs!$C$728</cx:f>
        <cx:lvl ptCount="1" formatCode="General">
          <cx:pt idx="0">5.0999999999999996</cx:pt>
        </cx:lvl>
      </cx:numDim>
    </cx:data>
    <cx:data id="2">
      <cx:numDim type="val">
        <cx:f>Graphs!$D$728:$D$746</cx:f>
        <cx:lvl ptCount="19" formatCode="General">
          <cx:pt idx="0">3.5</cx:pt>
          <cx:pt idx="1">5.9000000000000004</cx:pt>
          <cx:pt idx="2">6.2000000000000002</cx:pt>
          <cx:pt idx="3">4.9000000000000004</cx:pt>
          <cx:pt idx="4">4.2000000000000002</cx:pt>
          <cx:pt idx="5">6.7000000000000002</cx:pt>
          <cx:pt idx="6">4.2000000000000002</cx:pt>
          <cx:pt idx="7">4.9000000000000004</cx:pt>
          <cx:pt idx="8">4.9000000000000004</cx:pt>
          <cx:pt idx="9">4.4000000000000004</cx:pt>
          <cx:pt idx="10">3.3999999999999999</cx:pt>
          <cx:pt idx="11">4.9000000000000004</cx:pt>
          <cx:pt idx="12">4.5999999999999996</cx:pt>
          <cx:pt idx="13">5.0999999999999996</cx:pt>
          <cx:pt idx="14">4.2000000000000002</cx:pt>
          <cx:pt idx="15">3.6000000000000001</cx:pt>
          <cx:pt idx="16">4.2999999999999998</cx:pt>
          <cx:pt idx="17">5.5999999999999996</cx:pt>
          <cx:pt idx="18">6.5999999999999996</cx:pt>
        </cx:lvl>
      </cx:numDim>
    </cx:data>
    <cx:data id="3">
      <cx:numDim type="val">
        <cx:f>Graphs!$E$728</cx:f>
        <cx:lvl ptCount="1" formatCode="General">
          <cx:pt idx="0">3.5</cx:pt>
        </cx:lvl>
      </cx:numDim>
    </cx:data>
  </cx:chartData>
  <cx:chart>
    <cx:plotArea>
      <cx:plotAreaRegion>
        <cx:series layoutId="boxWhisker" uniqueId="{00000002-BB3F-48FA-8CB8-8BBBB1763402}" formatIdx="2">
          <cx:tx>
            <cx:txData>
              <cx:f>Graphs!$B$727</cx:f>
              <cx:v>2011</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Graphs!$C$727</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Graphs!$D$727</cx:f>
              <cx:v>2016</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Graphs!$E$727</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plotAreaRegion>
      <cx:axis id="0" hidden="1">
        <cx:catScaling gapWidth="0.0500000007"/>
        <cx:tickLabels/>
      </cx:axis>
      <cx:axis id="1">
        <cx:valScaling min="3"/>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Graphs!$B$751:$B$769</cx:f>
        <cx:lvl ptCount="19" formatCode="General">
          <cx:pt idx="0">6</cx:pt>
          <cx:pt idx="1">11.9</cx:pt>
          <cx:pt idx="2">4.0999999999999996</cx:pt>
          <cx:pt idx="3">7.9000000000000004</cx:pt>
          <cx:pt idx="4">7.0999999999999996</cx:pt>
          <cx:pt idx="5">4.2999999999999998</cx:pt>
          <cx:pt idx="6">9.3000000000000007</cx:pt>
          <cx:pt idx="7">7.7999999999999998</cx:pt>
          <cx:pt idx="8">9</cx:pt>
          <cx:pt idx="9">7.5</cx:pt>
          <cx:pt idx="10">7.7999999999999998</cx:pt>
          <cx:pt idx="11">6.0999999999999996</cx:pt>
          <cx:pt idx="12">9.9000000000000004</cx:pt>
          <cx:pt idx="13">11.4</cx:pt>
          <cx:pt idx="14">6.5999999999999996</cx:pt>
          <cx:pt idx="15">7.7999999999999998</cx:pt>
          <cx:pt idx="16">6.7999999999999998</cx:pt>
          <cx:pt idx="17">6.2999999999999998</cx:pt>
          <cx:pt idx="18">4.7000000000000002</cx:pt>
        </cx:lvl>
      </cx:numDim>
    </cx:data>
    <cx:data id="1">
      <cx:numDim type="val">
        <cx:f>Graphs!$C$751</cx:f>
        <cx:lvl ptCount="1" formatCode="General">
          <cx:pt idx="0">6</cx:pt>
        </cx:lvl>
      </cx:numDim>
    </cx:data>
    <cx:data id="2">
      <cx:numDim type="val">
        <cx:f>Graphs!$D$751:$D$769</cx:f>
        <cx:lvl ptCount="19" formatCode="General">
          <cx:pt idx="0">6.7000000000000002</cx:pt>
          <cx:pt idx="1">10.800000000000001</cx:pt>
          <cx:pt idx="2">4.7000000000000002</cx:pt>
          <cx:pt idx="3">8.3000000000000007</cx:pt>
          <cx:pt idx="4">6.7000000000000002</cx:pt>
          <cx:pt idx="5">4.4000000000000004</cx:pt>
          <cx:pt idx="6">10</cx:pt>
          <cx:pt idx="7">8.9000000000000004</cx:pt>
          <cx:pt idx="8">10.800000000000001</cx:pt>
          <cx:pt idx="9">7.5999999999999996</cx:pt>
          <cx:pt idx="10">9.4000000000000004</cx:pt>
          <cx:pt idx="11">5.5999999999999996</cx:pt>
          <cx:pt idx="12">13</cx:pt>
          <cx:pt idx="13">11.4</cx:pt>
          <cx:pt idx="14">8.5</cx:pt>
          <cx:pt idx="15">8.8000000000000007</cx:pt>
          <cx:pt idx="16">6.5999999999999996</cx:pt>
          <cx:pt idx="17">7.5999999999999996</cx:pt>
          <cx:pt idx="18">5.2999999999999998</cx:pt>
        </cx:lvl>
      </cx:numDim>
    </cx:data>
    <cx:data id="3">
      <cx:numDim type="val">
        <cx:f>Graphs!$E$751</cx:f>
        <cx:lvl ptCount="1" formatCode="General">
          <cx:pt idx="0">6.7000000000000002</cx:pt>
        </cx:lvl>
      </cx:numDim>
    </cx:data>
  </cx:chartData>
  <cx:chart>
    <cx:plotArea>
      <cx:plotAreaRegion>
        <cx:series layoutId="boxWhisker" uniqueId="{00000002-BB3F-48FA-8CB8-8BBBB1763402}" formatIdx="2">
          <cx:tx>
            <cx:txData>
              <cx:f>Graphs!$B$750</cx:f>
              <cx:v>2011</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Graphs!$C$750</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Graphs!$D$750</cx:f>
              <cx:v>2016</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Graphs!$E$750</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plotAreaRegion>
      <cx:axis id="0" hidden="1">
        <cx:catScaling gapWidth="0.0500000007"/>
        <cx:tickLabels/>
      </cx:axis>
      <cx:axis id="1">
        <cx:valScaling min="3"/>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Graphs!$B$628:$B$646</cx:f>
        <cx:lvl ptCount="19" formatCode="General">
          <cx:pt idx="0">220000</cx:pt>
          <cx:pt idx="1">500000</cx:pt>
          <cx:pt idx="2">297000</cx:pt>
          <cx:pt idx="3">228375</cx:pt>
          <cx:pt idx="4">240000</cx:pt>
          <cx:pt idx="5">200000</cx:pt>
          <cx:pt idx="6">324200</cx:pt>
          <cx:pt idx="7">242777</cx:pt>
          <cx:pt idx="8">236250</cx:pt>
          <cx:pt idx="9">245000</cx:pt>
          <cx:pt idx="10">170000</cx:pt>
          <cx:pt idx="11">345000</cx:pt>
          <cx:pt idx="12">275000</cx:pt>
          <cx:pt idx="13">370000</cx:pt>
          <cx:pt idx="14">295000</cx:pt>
          <cx:pt idx="15">239500</cx:pt>
          <cx:pt idx="16">227500</cx:pt>
          <cx:pt idx="17">300000</cx:pt>
          <cx:pt idx="18">497000</cx:pt>
        </cx:lvl>
      </cx:numDim>
    </cx:data>
    <cx:data id="1">
      <cx:numDim type="val">
        <cx:f>Graphs!$C$628</cx:f>
        <cx:lvl ptCount="1" formatCode="General">
          <cx:pt idx="0">220000</cx:pt>
        </cx:lvl>
      </cx:numDim>
    </cx:data>
    <cx:data id="2">
      <cx:numDim type="val">
        <cx:f>Graphs!$D$628:$D$646</cx:f>
        <cx:lvl ptCount="19" formatCode="General">
          <cx:pt idx="0">227500</cx:pt>
          <cx:pt idx="1">507500</cx:pt>
          <cx:pt idx="2">317500</cx:pt>
          <cx:pt idx="3">251000</cx:pt>
          <cx:pt idx="4">260000</cx:pt>
          <cx:pt idx="5">210000</cx:pt>
          <cx:pt idx="6">315000</cx:pt>
          <cx:pt idx="7">270000</cx:pt>
          <cx:pt idx="8">262500</cx:pt>
          <cx:pt idx="9">239000</cx:pt>
          <cx:pt idx="10">217750</cx:pt>
          <cx:pt idx="11">350000</cx:pt>
          <cx:pt idx="12">308750</cx:pt>
          <cx:pt idx="13">395000</cx:pt>
          <cx:pt idx="14">281000</cx:pt>
          <cx:pt idx="15">243500</cx:pt>
          <cx:pt idx="16">235000</cx:pt>
          <cx:pt idx="17">310000</cx:pt>
          <cx:pt idx="18">576250</cx:pt>
        </cx:lvl>
      </cx:numDim>
    </cx:data>
    <cx:data id="3">
      <cx:numDim type="val">
        <cx:f>Graphs!$E$628</cx:f>
        <cx:lvl ptCount="1" formatCode="General">
          <cx:pt idx="0">227500</cx:pt>
        </cx:lvl>
      </cx:numDim>
    </cx:data>
    <cx:data id="4">
      <cx:numDim type="val">
        <cx:f>Graphs!$F$628:$F$646</cx:f>
        <cx:lvl ptCount="19" formatCode="General">
          <cx:pt idx="0">252500</cx:pt>
          <cx:pt idx="1">525000</cx:pt>
          <cx:pt idx="2">285000</cx:pt>
          <cx:pt idx="3">269000</cx:pt>
          <cx:pt idx="4">260000</cx:pt>
          <cx:pt idx="5">215000</cx:pt>
          <cx:pt idx="6">315000</cx:pt>
          <cx:pt idx="7">252500</cx:pt>
          <cx:pt idx="8">255000</cx:pt>
          <cx:pt idx="9">258000</cx:pt>
          <cx:pt idx="10">180000</cx:pt>
          <cx:pt idx="11">360000</cx:pt>
          <cx:pt idx="12">314000</cx:pt>
          <cx:pt idx="13">400000</cx:pt>
          <cx:pt idx="14">250000</cx:pt>
          <cx:pt idx="15">257500</cx:pt>
          <cx:pt idx="16">250000</cx:pt>
          <cx:pt idx="17">330000</cx:pt>
          <cx:pt idx="18">600000</cx:pt>
        </cx:lvl>
      </cx:numDim>
    </cx:data>
    <cx:data id="5">
      <cx:numDim type="val">
        <cx:f>Graphs!$G$628</cx:f>
        <cx:lvl ptCount="1" formatCode="General">
          <cx:pt idx="0">252500</cx:pt>
        </cx:lvl>
      </cx:numDim>
    </cx:data>
  </cx:chartData>
  <cx:chart>
    <cx:plotArea>
      <cx:plotAreaRegion>
        <cx:series layoutId="boxWhisker" uniqueId="{00000002-BB3F-48FA-8CB8-8BBBB1763402}" formatIdx="2">
          <cx:tx>
            <cx:txData>
              <cx:f>Graphs!$B$627</cx:f>
              <cx:v>2017</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Graphs!$C$627</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Graphs!$D$627</cx:f>
              <cx:v>2018</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Graphs!$E$627</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Graphs!$F$627</cx:f>
              <cx:v>2019</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Graphs!$G$627</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1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Graphs!$B$570:$B$588</cx:f>
        <cx:lvl ptCount="19" formatCode="General">
          <cx:pt idx="0">11630</cx:pt>
          <cx:pt idx="1">7054</cx:pt>
          <cx:pt idx="2">9978</cx:pt>
          <cx:pt idx="3">11777</cx:pt>
          <cx:pt idx="4">18828</cx:pt>
          <cx:pt idx="5">13609</cx:pt>
          <cx:pt idx="6">5525</cx:pt>
          <cx:pt idx="7">11690</cx:pt>
          <cx:pt idx="8">5176</cx:pt>
          <cx:pt idx="9">8279</cx:pt>
          <cx:pt idx="10">7865</cx:pt>
          <cx:pt idx="11">12494</cx:pt>
          <cx:pt idx="12">2265</cx:pt>
          <cx:pt idx="13">6152</cx:pt>
          <cx:pt idx="14">7221</cx:pt>
          <cx:pt idx="15">13444</cx:pt>
          <cx:pt idx="16">9883</cx:pt>
          <cx:pt idx="17">2370</cx:pt>
          <cx:pt idx="18">4004</cx:pt>
        </cx:lvl>
      </cx:numDim>
    </cx:data>
    <cx:data id="1">
      <cx:numDim type="val">
        <cx:f>Graphs!$C$570</cx:f>
        <cx:lvl ptCount="1" formatCode="General">
          <cx:pt idx="0">11630</cx:pt>
        </cx:lvl>
      </cx:numDim>
    </cx:data>
    <cx:data id="2">
      <cx:numDim type="val">
        <cx:f>Graphs!$D$570:$D$588</cx:f>
        <cx:lvl ptCount="19" formatCode="General">
          <cx:pt idx="0">12235</cx:pt>
          <cx:pt idx="1">7539</cx:pt>
          <cx:pt idx="2">9504</cx:pt>
          <cx:pt idx="3">12224</cx:pt>
          <cx:pt idx="4">14605</cx:pt>
          <cx:pt idx="5">12351</cx:pt>
          <cx:pt idx="6">6399</cx:pt>
          <cx:pt idx="7">10624</cx:pt>
          <cx:pt idx="8">7319</cx:pt>
          <cx:pt idx="9">10242</cx:pt>
          <cx:pt idx="10">17525</cx:pt>
          <cx:pt idx="11">8524</cx:pt>
          <cx:pt idx="12">4668</cx:pt>
          <cx:pt idx="13">8214</cx:pt>
          <cx:pt idx="14">9711</cx:pt>
          <cx:pt idx="15">12616</cx:pt>
          <cx:pt idx="16">10964</cx:pt>
          <cx:pt idx="17">4265</cx:pt>
          <cx:pt idx="18">3795</cx:pt>
        </cx:lvl>
      </cx:numDim>
    </cx:data>
    <cx:data id="3">
      <cx:numDim type="val">
        <cx:f>Graphs!$E$570</cx:f>
        <cx:lvl ptCount="1" formatCode="General">
          <cx:pt idx="0">12235</cx:pt>
        </cx:lvl>
      </cx:numDim>
    </cx:data>
    <cx:data id="4">
      <cx:numDim type="val">
        <cx:f>Graphs!$F$570:$F$588</cx:f>
        <cx:lvl ptCount="19" formatCode="General">
          <cx:pt idx="0">13016</cx:pt>
          <cx:pt idx="1">8421</cx:pt>
          <cx:pt idx="2">8489</cx:pt>
          <cx:pt idx="3">11787</cx:pt>
          <cx:pt idx="4">14048</cx:pt>
          <cx:pt idx="5">11277</cx:pt>
          <cx:pt idx="6">7323</cx:pt>
          <cx:pt idx="7">12295</cx:pt>
          <cx:pt idx="8">8381</cx:pt>
          <cx:pt idx="9">8407</cx:pt>
          <cx:pt idx="10">21971</cx:pt>
          <cx:pt idx="11">9925</cx:pt>
          <cx:pt idx="12">3338</cx:pt>
          <cx:pt idx="13">7957</cx:pt>
          <cx:pt idx="14">9721</cx:pt>
          <cx:pt idx="15">10651</cx:pt>
          <cx:pt idx="16">12371</cx:pt>
          <cx:pt idx="17">2904</cx:pt>
          <cx:pt idx="18">5028</cx:pt>
        </cx:lvl>
      </cx:numDim>
    </cx:data>
    <cx:data id="5">
      <cx:numDim type="val">
        <cx:f>Graphs!$G$570</cx:f>
        <cx:lvl ptCount="1" formatCode="General">
          <cx:pt idx="0">13016</cx:pt>
        </cx:lvl>
      </cx:numDim>
    </cx:data>
  </cx:chartData>
  <cx:chart>
    <cx:plotArea>
      <cx:plotAreaRegion>
        <cx:series layoutId="boxWhisker" uniqueId="{00000002-BB3F-48FA-8CB8-8BBBB1763402}" formatIdx="2">
          <cx:tx>
            <cx:txData>
              <cx:f>Graphs!$B$569</cx:f>
              <cx:v>2017</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Graphs!$C$569</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Graphs!$D$569</cx:f>
              <cx:v>2018</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Graphs!$E$569</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Graphs!$F$569</cx:f>
              <cx:v>2019</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Graphs!$G$569</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Graphs!$B$913:$B$931</cx:f>
        <cx:lvl ptCount="19" formatCode="General">
          <cx:pt idx="0">675</cx:pt>
          <cx:pt idx="1">1231.6722678000001</cx:pt>
          <cx:pt idx="2">707.42391173999999</cx:pt>
          <cx:pt idx="3">492.37387055999994</cx:pt>
          <cx:pt idx="4">614.48739533999992</cx:pt>
          <cx:pt idx="5">859.77868391999993</cx:pt>
          <cx:pt idx="6">955.49697359999993</cx:pt>
          <cx:pt idx="7">611.14715999999999</cx:pt>
          <cx:pt idx="8">1028.1181154400001</cx:pt>
          <cx:pt idx="9">1011.26942046</cx:pt>
          <cx:pt idx="10">1111.4659436399998</cx:pt>
          <cx:pt idx="11">793.32169877999991</cx:pt>
          <cx:pt idx="12">897.74950033799996</cx:pt>
          <cx:pt idx="13">1102.2355141199998</cx:pt>
          <cx:pt idx="14">2962.9046538000002</cx:pt>
          <cx:pt idx="15">1038.6024503399999</cx:pt>
          <cx:pt idx="16">720.59518674000003</cx:pt>
          <cx:pt idx="17">852.53975118000005</cx:pt>
          <cx:pt idx="18">985.01116661999981</cx:pt>
        </cx:lvl>
      </cx:numDim>
    </cx:data>
    <cx:data id="1">
      <cx:numDim type="val">
        <cx:f>Graphs!$C$913</cx:f>
        <cx:lvl ptCount="1" formatCode="General">
          <cx:pt idx="0">675</cx:pt>
        </cx:lvl>
      </cx:numDim>
    </cx:data>
    <cx:data id="2">
      <cx:numDim type="val">
        <cx:f>Graphs!$D$913:$D$931</cx:f>
        <cx:lvl ptCount="19" formatCode="General">
          <cx:pt idx="0">2900</cx:pt>
          <cx:pt idx="1">2839.9481674200001</cx:pt>
          <cx:pt idx="2">2675.2756188599997</cx:pt>
          <cx:pt idx="3">1934.3755945799999</cx:pt>
          <cx:pt idx="4">3215.04500538</cx:pt>
          <cx:pt idx="5">2318.8819913999996</cx:pt>
          <cx:pt idx="6">4734.6308076599989</cx:pt>
          <cx:pt idx="7">2723.5562444999996</cx:pt>
          <cx:pt idx="8">3078.8540218799999</cx:pt>
          <cx:pt idx="9">3684.7221348599996</cx:pt>
          <cx:pt idx="10">11732.181493499998</cx:pt>
          <cx:pt idx="11">2966.4977776199999</cx:pt>
          <cx:pt idx="12">3588.7536571319997</cx:pt>
          <cx:pt idx="13">2094.6542058</cx:pt>
          <cx:pt idx="14">4055.8570532999997</cx:pt>
          <cx:pt idx="15">2790.4663214999996</cx:pt>
          <cx:pt idx="16">1954.5961359599999</cx:pt>
          <cx:pt idx="17">3759.0608109599998</cx:pt>
          <cx:pt idx="18">2818.5580168199999</cx:pt>
        </cx:lvl>
      </cx:numDim>
    </cx:data>
    <cx:data id="3">
      <cx:numDim type="val">
        <cx:f>Graphs!$E$913</cx:f>
        <cx:lvl ptCount="1" formatCode="General">
          <cx:pt idx="0">2900</cx:pt>
        </cx:lvl>
      </cx:numDim>
    </cx:data>
    <cx:data id="4">
      <cx:numDim type="val">
        <cx:f>Graphs!$F$913:$F$931</cx:f>
        <cx:lvl ptCount="19" formatCode="General">
          <cx:pt idx="0">1560</cx:pt>
          <cx:pt idx="1">1227.6155150999998</cx:pt>
          <cx:pt idx="2">591.83280233999994</cx:pt>
          <cx:pt idx="3">3166.0057142999999</cx:pt>
          <cx:pt idx="4">1003.5247107599999</cx:pt>
          <cx:pt idx="5">522.63619199999994</cx:pt>
          <cx:pt idx="6">4994.1997583399998</cx:pt>
          <cx:pt idx="7">1672.70977692</cx:pt>
          <cx:pt idx="8">4463.8293936600003</cx:pt>
          <cx:pt idx="9">872.88673679999988</cx:pt>
          <cx:pt idx="10">5024.93624568</cx:pt>
          <cx:pt idx="11">900.7571547</cx:pt>
          <cx:pt idx="12">2627.3238426359994</cx:pt>
          <cx:pt idx="13">1808.8796863800001</cx:pt>
          <cx:pt idx="14">2386.7614742399996</cx:pt>
          <cx:pt idx="15">4305.4790571000003</cx:pt>
          <cx:pt idx="16">1665.7553437199999</cx:pt>
          <cx:pt idx="17">911.68404443999998</cx:pt>
          <cx:pt idx="18">2966.8033511999997</cx:pt>
        </cx:lvl>
      </cx:numDim>
    </cx:data>
    <cx:data id="5">
      <cx:numDim type="val">
        <cx:f>Graphs!$G$913</cx:f>
        <cx:lvl ptCount="1" formatCode="General">
          <cx:pt idx="0">1560</cx:pt>
        </cx:lvl>
      </cx:numDim>
    </cx:data>
  </cx:chartData>
  <cx:chart>
    <cx:plotArea>
      <cx:plotAreaRegion>
        <cx:series layoutId="boxWhisker" uniqueId="{00000000-F0F7-4B7E-B78F-9D64EBAFF6AE}">
          <cx:tx>
            <cx:txData>
              <cx:f>Graphs!$B$912</cx:f>
              <cx:v>Residential</cx:v>
            </cx:txData>
          </cx:tx>
          <cx:dataId val="0"/>
          <cx:layoutPr>
            <cx:statistics quartileMethod="exclusive"/>
          </cx:layoutPr>
        </cx:series>
        <cx:series layoutId="boxWhisker" uniqueId="{00000001-F0F7-4B7E-B78F-9D64EBAFF6AE}">
          <cx:tx>
            <cx:txData>
              <cx:f>Graphs!$C$912</cx:f>
              <cx:v>Cootamundra-Gundagai</cx:v>
            </cx:txData>
          </cx:tx>
          <cx:spPr>
            <a:solidFill>
              <a:schemeClr val="accent1"/>
            </a:solidFill>
            <a:ln>
              <a:solidFill>
                <a:schemeClr val="accent1"/>
              </a:solidFill>
            </a:ln>
          </cx:spPr>
          <cx:dataId val="1"/>
          <cx:layoutPr>
            <cx:statistics quartileMethod="exclusive"/>
          </cx:layoutPr>
        </cx:series>
        <cx:series layoutId="boxWhisker" uniqueId="{00000002-F0F7-4B7E-B78F-9D64EBAFF6AE}">
          <cx:tx>
            <cx:txData>
              <cx:f>Graphs!$D$912</cx:f>
              <cx:v>Farm</cx:v>
            </cx:txData>
          </cx:tx>
          <cx:spPr>
            <a:solidFill>
              <a:schemeClr val="accent4"/>
            </a:solidFill>
            <a:ln>
              <a:solidFill>
                <a:schemeClr val="accent2">
                  <a:lumMod val="75000"/>
                </a:schemeClr>
              </a:solidFill>
            </a:ln>
          </cx:spPr>
          <cx:dataId val="2"/>
          <cx:layoutPr>
            <cx:statistics quartileMethod="exclusive"/>
          </cx:layoutPr>
        </cx:series>
        <cx:series layoutId="boxWhisker" uniqueId="{00000003-F0F7-4B7E-B78F-9D64EBAFF6AE}">
          <cx:tx>
            <cx:txData>
              <cx:f>Graphs!$E$912</cx:f>
              <cx:v>Cootamundra-Gundagai</cx:v>
            </cx:txData>
          </cx:tx>
          <cx:spPr>
            <a:solidFill>
              <a:srgbClr val="FFC000"/>
            </a:solidFill>
            <a:ln>
              <a:solidFill>
                <a:schemeClr val="accent2"/>
              </a:solidFill>
            </a:ln>
          </cx:spPr>
          <cx:dataId val="3"/>
          <cx:layoutPr>
            <cx:statistics quartileMethod="exclusive"/>
          </cx:layoutPr>
        </cx:series>
        <cx:series layoutId="boxWhisker" uniqueId="{00000004-F0F7-4B7E-B78F-9D64EBAFF6AE}">
          <cx:tx>
            <cx:txData>
              <cx:f>Graphs!$F$912</cx:f>
              <cx:v>Business</cx:v>
            </cx:txData>
          </cx:tx>
          <cx:spPr>
            <a:solidFill>
              <a:schemeClr val="accent6"/>
            </a:solidFill>
            <a:ln>
              <a:solidFill>
                <a:schemeClr val="accent1"/>
              </a:solidFill>
            </a:ln>
          </cx:spPr>
          <cx:dataId val="4"/>
          <cx:layoutPr>
            <cx:statistics quartileMethod="exclusive"/>
          </cx:layoutPr>
        </cx:series>
        <cx:series layoutId="boxWhisker" uniqueId="{00000005-F0F7-4B7E-B78F-9D64EBAFF6AE}">
          <cx:tx>
            <cx:txData>
              <cx:f>Graphs!$G$912</cx:f>
              <cx:v>Cootamundra-Gundagai</cx:v>
            </cx:txData>
          </cx:tx>
          <cx:dataId val="5"/>
          <cx:layoutPr>
            <cx:statistics quartileMethod="exclusive"/>
          </cx:layoutPr>
        </cx:series>
      </cx:plotAreaRegion>
      <cx:axis id="0" hidden="1">
        <cx:catScaling gapWidth="0.0500000007"/>
        <cx:tickLabels/>
      </cx:axis>
      <cx:axis id="1">
        <cx:valScaling max="5000" min="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Graphs!$B$120:$B$137</cx:f>
        <cx:lvl ptCount="18" formatCode="General">
          <cx:pt idx="0">4.04</cx:pt>
          <cx:pt idx="1">5.7800000000000002</cx:pt>
          <cx:pt idx="2">5.5599999999999996</cx:pt>
          <cx:pt idx="3">9.0199999999999996</cx:pt>
          <cx:pt idx="4">5.04</cx:pt>
          <cx:pt idx="5">6.6500000000000004</cx:pt>
          <cx:pt idx="6">4.3399999999999999</cx:pt>
          <cx:pt idx="7">6.7599999999999998</cx:pt>
          <cx:pt idx="8">5.8399999999999999</cx:pt>
          <cx:pt idx="9">3.0600000000000001</cx:pt>
          <cx:pt idx="10">7.1500000000000004</cx:pt>
          <cx:pt idx="11">14.92</cx:pt>
          <cx:pt idx="12">5.1100000000000003</cx:pt>
          <cx:pt idx="13">7.6399999999999997</cx:pt>
          <cx:pt idx="14">6.4100000000000001</cx:pt>
          <cx:pt idx="15">4.25</cx:pt>
          <cx:pt idx="16">8.4900000000000002</cx:pt>
          <cx:pt idx="17">4.0199999999999996</cx:pt>
        </cx:lvl>
      </cx:numDim>
    </cx:data>
    <cx:data id="1">
      <cx:numDim type="val">
        <cx:f>Graphs!$C$120</cx:f>
        <cx:lvl ptCount="1" formatCode="General">
          <cx:pt idx="0">4.04</cx:pt>
        </cx:lvl>
      </cx:numDim>
    </cx:data>
    <cx:data id="2">
      <cx:numDim type="val">
        <cx:f>Graphs!$D$120:$D$137</cx:f>
        <cx:lvl ptCount="18" formatCode="General">
          <cx:pt idx="0">7.6799999999999997</cx:pt>
          <cx:pt idx="1">5.25</cx:pt>
          <cx:pt idx="2">5.2599999999999998</cx:pt>
          <cx:pt idx="3">9.0099999999999998</cx:pt>
          <cx:pt idx="4">9.6999999999999993</cx:pt>
          <cx:pt idx="5">6.0899999999999999</cx:pt>
          <cx:pt idx="6">3.8399999999999999</cx:pt>
          <cx:pt idx="7">8.3100000000000005</cx:pt>
          <cx:pt idx="8">5.6900000000000004</cx:pt>
          <cx:pt idx="9">3.9199999999999999</cx:pt>
          <cx:pt idx="10">10.31</cx:pt>
          <cx:pt idx="11">7.7000000000000002</cx:pt>
          <cx:pt idx="12">6.4100000000000001</cx:pt>
          <cx:pt idx="13">8.1699999999999999</cx:pt>
          <cx:pt idx="14">5.4000000000000004</cx:pt>
          <cx:pt idx="15">3.1800000000000002</cx:pt>
          <cx:pt idx="16">6.8499999999999996</cx:pt>
          <cx:pt idx="17">4.0700000000000003</cx:pt>
        </cx:lvl>
      </cx:numDim>
    </cx:data>
    <cx:data id="3">
      <cx:numDim type="val">
        <cx:f>Graphs!$E$120</cx:f>
        <cx:lvl ptCount="1" formatCode="General">
          <cx:pt idx="0">7.6799999999999997</cx:pt>
        </cx:lvl>
      </cx:numDim>
    </cx:data>
    <cx:data id="4">
      <cx:numDim type="val">
        <cx:f>Graphs!$F$120:$F$137</cx:f>
        <cx:lvl ptCount="18" formatCode="General">
          <cx:pt idx="0">6.5099999999999998</cx:pt>
          <cx:pt idx="1">4.2000000000000002</cx:pt>
          <cx:pt idx="2">6.5300000000000002</cx:pt>
          <cx:pt idx="3">10.43</cx:pt>
          <cx:pt idx="4">7.3200000000000003</cx:pt>
          <cx:pt idx="5">6.0300000000000002</cx:pt>
          <cx:pt idx="6">4.3300000000000001</cx:pt>
          <cx:pt idx="7">10.119999999999999</cx:pt>
          <cx:pt idx="8">5.6600000000000001</cx:pt>
          <cx:pt idx="9">4.5800000000000001</cx:pt>
          <cx:pt idx="10">9.6300000000000008</cx:pt>
          <cx:pt idx="11">5.9100000000000001</cx:pt>
          <cx:pt idx="12">6.0800000000000001</cx:pt>
          <cx:pt idx="14">11.539999999999999</cx:pt>
          <cx:pt idx="15">4.2999999999999998</cx:pt>
          <cx:pt idx="16">8.2300000000000004</cx:pt>
          <cx:pt idx="17">7.25</cx:pt>
        </cx:lvl>
      </cx:numDim>
    </cx:data>
    <cx:data id="5">
      <cx:numDim type="val">
        <cx:f>Graphs!$G$120</cx:f>
        <cx:lvl ptCount="1" formatCode="General">
          <cx:pt idx="0">6.5099999999999998</cx:pt>
        </cx:lvl>
      </cx:numDim>
    </cx:data>
    <cx:data id="6">
      <cx:numDim type="val">
        <cx:f>Graphs!$H$120:$H$137</cx:f>
        <cx:lvl ptCount="18" formatCode="General">
          <cx:pt idx="0">6.0899999999999999</cx:pt>
          <cx:pt idx="1">5.46</cx:pt>
          <cx:pt idx="2">4.9299999999999997</cx:pt>
          <cx:pt idx="3">14.73</cx:pt>
          <cx:pt idx="4">6.2699999999999996</cx:pt>
          <cx:pt idx="5">6.0599999999999996</cx:pt>
          <cx:pt idx="6">5.0499999999999998</cx:pt>
          <cx:pt idx="9">1.8200000000000001</cx:pt>
          <cx:pt idx="10">11.539999999999999</cx:pt>
          <cx:pt idx="12">5.3499999999999996</cx:pt>
          <cx:pt idx="13">13.869999999999999</cx:pt>
          <cx:pt idx="14">13.76</cx:pt>
          <cx:pt idx="15">7.0199999999999996</cx:pt>
          <cx:pt idx="16">8.9299999999999997</cx:pt>
        </cx:lvl>
      </cx:numDim>
    </cx:data>
    <cx:data id="7">
      <cx:numDim type="val">
        <cx:f>Graphs!$I$120</cx:f>
        <cx:lvl ptCount="1" formatCode="General">
          <cx:pt idx="0">6.0899999999999999</cx:pt>
        </cx:lvl>
      </cx:numDim>
    </cx:data>
  </cx:chartData>
  <cx:chart>
    <cx:plotArea>
      <cx:plotAreaRegion>
        <cx:series layoutId="boxWhisker" uniqueId="{00000002-BB3F-48FA-8CB8-8BBBB1763402}" formatIdx="2">
          <cx:tx>
            <cx:txData>
              <cx:f>Graphs!$B$119</cx:f>
              <cx:v>2017</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Graphs!$C$119</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Graphs!$D$119</cx:f>
              <cx:v>2018</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Graphs!$E$119</cx:f>
              <cx:v>Cootamundra-Gundagai</cx:v>
            </cx:txData>
          </cx:tx>
          <cx:spPr>
            <a:solidFill>
              <a:srgbClr val="FFC000"/>
            </a:solidFill>
            <a:ln>
              <a:solidFill>
                <a:srgbClr val="FFC000"/>
              </a:solidFill>
            </a:ln>
          </cx:spPr>
          <cx:dataId val="3"/>
          <cx:layoutPr>
            <cx:statistics quartileMethod="exclusive"/>
          </cx:layoutPr>
        </cx:series>
        <cx:series layoutId="boxWhisker" uniqueId="{00000001-BBA4-4587-90F5-55823230BAB6}" formatIdx="4">
          <cx:tx>
            <cx:txData>
              <cx:f>Graphs!$F$119</cx:f>
              <cx:v>2019</cx:v>
            </cx:txData>
          </cx:tx>
          <cx:spPr>
            <a:solidFill>
              <a:srgbClr val="92D050"/>
            </a:solidFill>
          </cx:spPr>
          <cx:dataId val="4"/>
          <cx:layoutPr>
            <cx:statistics quartileMethod="exclusive"/>
          </cx:layoutPr>
        </cx:series>
        <cx:series layoutId="boxWhisker" uniqueId="{00000000-9905-4E02-8D16-F29EFFDE3250}" formatIdx="5">
          <cx:tx>
            <cx:txData>
              <cx:f>Graphs!$G$119</cx:f>
              <cx:v>Cootamundra-Gundagai</cx:v>
            </cx:txData>
          </cx:tx>
          <cx:spPr>
            <a:solidFill>
              <a:srgbClr val="92D050"/>
            </a:solidFill>
            <a:ln>
              <a:solidFill>
                <a:srgbClr val="92D050"/>
              </a:solidFill>
            </a:ln>
          </cx:spPr>
          <cx:dataId val="5"/>
          <cx:layoutPr>
            <cx:statistics quartileMethod="exclusive"/>
          </cx:layoutPr>
        </cx:series>
        <cx:series layoutId="boxWhisker" uniqueId="{00000000-000B-46EF-BD78-D751741EA66A}" formatIdx="6">
          <cx:tx>
            <cx:txData>
              <cx:f>Graphs!$H$119</cx:f>
              <cx:v>2020</cx:v>
            </cx:txData>
          </cx:tx>
          <cx:spPr>
            <a:solidFill>
              <a:srgbClr val="C00000"/>
            </a:solidFill>
          </cx:spPr>
          <cx:dataId val="6"/>
          <cx:layoutPr>
            <cx:statistics quartileMethod="exclusive"/>
          </cx:layoutPr>
        </cx:series>
        <cx:series layoutId="boxWhisker" uniqueId="{00000001-000B-46EF-BD78-D751741EA66A}" formatIdx="7">
          <cx:tx>
            <cx:txData>
              <cx:f>Graphs!$I$119</cx:f>
              <cx:v>Cootamundra-Gundagai</cx:v>
            </cx:txData>
          </cx:tx>
          <cx:spPr>
            <a:solidFill>
              <a:srgbClr val="C00000"/>
            </a:solidFill>
            <a:ln>
              <a:solidFill>
                <a:srgbClr val="C00000"/>
              </a:solidFill>
            </a:ln>
          </cx:spPr>
          <cx:dataId val="7"/>
          <cx:layoutPr>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Graphs!$B$772:$B$790</cx:f>
        <cx:lvl ptCount="19" formatCode="General">
          <cx:pt idx="0">3</cx:pt>
          <cx:pt idx="1">5</cx:pt>
          <cx:pt idx="2">8</cx:pt>
          <cx:pt idx="3">2</cx:pt>
          <cx:pt idx="4">5</cx:pt>
          <cx:pt idx="5">6</cx:pt>
          <cx:pt idx="6">4</cx:pt>
          <cx:pt idx="7">4</cx:pt>
          <cx:pt idx="8">2</cx:pt>
          <cx:pt idx="9">4</cx:pt>
          <cx:pt idx="10">2</cx:pt>
          <cx:pt idx="11">7</cx:pt>
          <cx:pt idx="12">3</cx:pt>
          <cx:pt idx="13">2</cx:pt>
          <cx:pt idx="14">4</cx:pt>
          <cx:pt idx="15">3</cx:pt>
          <cx:pt idx="16">4</cx:pt>
          <cx:pt idx="17">6</cx:pt>
          <cx:pt idx="18">10</cx:pt>
        </cx:lvl>
      </cx:numDim>
    </cx:data>
    <cx:data id="1">
      <cx:numDim type="val">
        <cx:f>Graphs!$C$772</cx:f>
        <cx:lvl ptCount="1" formatCode="General">
          <cx:pt idx="0">3</cx:pt>
        </cx:lvl>
      </cx:numDim>
    </cx:data>
    <cx:data id="2">
      <cx:numDim type="val">
        <cx:f>Graphs!$D$772:$D$790</cx:f>
        <cx:lvl ptCount="19" formatCode="General">
          <cx:pt idx="0">3</cx:pt>
          <cx:pt idx="1">5</cx:pt>
          <cx:pt idx="2">8</cx:pt>
          <cx:pt idx="3">2</cx:pt>
          <cx:pt idx="4">5</cx:pt>
          <cx:pt idx="5">7</cx:pt>
          <cx:pt idx="6">4</cx:pt>
          <cx:pt idx="7">3</cx:pt>
          <cx:pt idx="8">2</cx:pt>
          <cx:pt idx="9">4</cx:pt>
          <cx:pt idx="10">2</cx:pt>
          <cx:pt idx="11">7</cx:pt>
          <cx:pt idx="12">3</cx:pt>
          <cx:pt idx="13">1</cx:pt>
          <cx:pt idx="14">4</cx:pt>
          <cx:pt idx="15">3</cx:pt>
          <cx:pt idx="16">4</cx:pt>
          <cx:pt idx="17">6</cx:pt>
          <cx:pt idx="18">9</cx:pt>
        </cx:lvl>
      </cx:numDim>
    </cx:data>
    <cx:data id="3">
      <cx:numDim type="val">
        <cx:f>Graphs!$E$772</cx:f>
        <cx:lvl ptCount="1" formatCode="General">
          <cx:pt idx="0">3</cx:pt>
        </cx:lvl>
      </cx:numDim>
    </cx:data>
  </cx:chartData>
  <cx:chart>
    <cx:plotArea>
      <cx:plotAreaRegion>
        <cx:series layoutId="boxWhisker" uniqueId="{00000002-BB3F-48FA-8CB8-8BBBB1763402}" formatIdx="2">
          <cx:tx>
            <cx:txData>
              <cx:f>Graphs!$B$771</cx:f>
              <cx:v>SEIFA IRSD Australia Decile</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Graphs!$C$771</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Graphs!$D$771</cx:f>
              <cx:v>SEIFA IRSD State Decile</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Graphs!$E$771</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General"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Graphs!$B$421:$B$438</cx:f>
        <cx:lvl ptCount="18" formatCode="General">
          <cx:pt idx="0">18.491936912989544</cx:pt>
          <cx:pt idx="1">16.481811835879935</cx:pt>
          <cx:pt idx="2">12.205504587155962</cx:pt>
          <cx:pt idx="3">17.86475183460901</cx:pt>
          <cx:pt idx="4">20.240109580211101</cx:pt>
          <cx:pt idx="5">12.455990103720621</cx:pt>
          <cx:pt idx="6">12.708150744960561</cx:pt>
          <cx:pt idx="7">15.593652141606071</cx:pt>
          <cx:pt idx="8">15.246155680057219</cx:pt>
          <cx:pt idx="9">12.629181993343844</cx:pt>
          <cx:pt idx="10">19.046016656852025</cx:pt>
          <cx:pt idx="11">8.7442312363371375</cx:pt>
          <cx:pt idx="12">20.736642590031249</cx:pt>
          <cx:pt idx="13">11.519916920109784</cx:pt>
          <cx:pt idx="14">13.026896828582899</cx:pt>
          <cx:pt idx="15">15.378311936629336</cx:pt>
          <cx:pt idx="16">12.16600735651329</cx:pt>
          <cx:pt idx="17">8.1789752225162378</cx:pt>
        </cx:lvl>
      </cx:numDim>
    </cx:data>
    <cx:data id="1">
      <cx:numDim type="val">
        <cx:f>Graphs!$C$421</cx:f>
        <cx:lvl ptCount="1" formatCode="General">
          <cx:pt idx="0">18.491936912989544</cx:pt>
        </cx:lvl>
      </cx:numDim>
    </cx:data>
    <cx:data id="2">
      <cx:numDim type="val">
        <cx:f>Graphs!$D$421:$D$438</cx:f>
        <cx:lvl ptCount="18" formatCode="General">
          <cx:pt idx="0">18.561010316613306</cx:pt>
          <cx:pt idx="1">16.004943611926464</cx:pt>
          <cx:pt idx="2">11.644736842105264</cx:pt>
          <cx:pt idx="3">17.043941411451399</cx:pt>
          <cx:pt idx="4">20.186435229829634</cx:pt>
          <cx:pt idx="5">12.296462661426165</cx:pt>
          <cx:pt idx="6">12.433420780666189</cx:pt>
          <cx:pt idx="7">15.317857523160471</cx:pt>
          <cx:pt idx="8">14.968777876895627</cx:pt>
          <cx:pt idx="9">11.942647315964329</cx:pt>
          <cx:pt idx="10">18.047532596137977</cx:pt>
          <cx:pt idx="11">8.6665449455297914</cx:pt>
          <cx:pt idx="12">20.515034538805363</cx:pt>
          <cx:pt idx="13">11.140503363313432</cx:pt>
          <cx:pt idx="14">12.656103128776689</cx:pt>
          <cx:pt idx="15">15.104596751995597</cx:pt>
          <cx:pt idx="16">12.327707454289733</cx:pt>
          <cx:pt idx="17">7.8570164572642014</cx:pt>
        </cx:lvl>
      </cx:numDim>
    </cx:data>
    <cx:data id="3">
      <cx:numDim type="val">
        <cx:f>Graphs!$E$421</cx:f>
        <cx:lvl ptCount="1" formatCode="General">
          <cx:pt idx="0">18.561010316613306</cx:pt>
        </cx:lvl>
      </cx:numDim>
    </cx:data>
    <cx:data id="4">
      <cx:numDim type="val">
        <cx:f>Graphs!$F$421:$F$438</cx:f>
        <cx:lvl ptCount="18" formatCode="General">
          <cx:pt idx="0">17.726465364120781</cx:pt>
          <cx:pt idx="1">15.598241147882435</cx:pt>
          <cx:pt idx="2">11.644736842105264</cx:pt>
          <cx:pt idx="3">17.043941411451399</cx:pt>
          <cx:pt idx="4">19.924570694912532</cx:pt>
          <cx:pt idx="5">12.296462661426165</cx:pt>
          <cx:pt idx="6">11.768422715425322</cx:pt>
          <cx:pt idx="7">15.317857523160471</cx:pt>
          <cx:pt idx="8">14.456186179054855</cx:pt>
          <cx:pt idx="9">11.942647315964329</cx:pt>
          <cx:pt idx="10">18.047532596137977</cx:pt>
          <cx:pt idx="11">8.7773911981932482</cx:pt>
          <cx:pt idx="12">20.366155869114451</cx:pt>
          <cx:pt idx="13">11.140503363313432</cx:pt>
          <cx:pt idx="14">12.656103128776689</cx:pt>
          <cx:pt idx="15">15.104596751995597</cx:pt>
          <cx:pt idx="16">12.327707454289733</cx:pt>
          <cx:pt idx="17">7.8570164572642014</cx:pt>
        </cx:lvl>
      </cx:numDim>
    </cx:data>
    <cx:data id="5">
      <cx:numDim type="val">
        <cx:f>Graphs!$G$421</cx:f>
        <cx:lvl ptCount="1" formatCode="General">
          <cx:pt idx="0">17.726465364120781</cx:pt>
        </cx:lvl>
      </cx:numDim>
    </cx:data>
    <cx:data id="6">
      <cx:numDim type="val">
        <cx:f>Graphs!$H$421:$H$438</cx:f>
        <cx:lvl ptCount="18" formatCode="General">
          <cx:pt idx="0">17.961726746773476</cx:pt>
          <cx:pt idx="1">16.305016928285625</cx:pt>
          <cx:pt idx="2">12.080093882939709</cx:pt>
          <cx:pt idx="3">17.052499411441577</cx:pt>
          <cx:pt idx="4">20.117391653935837</cx:pt>
          <cx:pt idx="5">12.328130806391675</cx:pt>
          <cx:pt idx="6">11.860263386168283</cx:pt>
          <cx:pt idx="7">15.429854576561164</cx:pt>
          <cx:pt idx="8">14.612196566015392</cx:pt>
          <cx:pt idx="9">12.022717343818261</cx:pt>
          <cx:pt idx="10">18.303350387852781</cx:pt>
          <cx:pt idx="11">8.9454723087256518</cx:pt>
          <cx:pt idx="12">20.949255238576118</cx:pt>
          <cx:pt idx="13">11.358964598401219</cx:pt>
          <cx:pt idx="14">13.048459931252948</cx:pt>
          <cx:pt idx="15">15.070101526348505</cx:pt>
          <cx:pt idx="16">12.454160789844853</cx:pt>
          <cx:pt idx="17">8.0646105226195353</cx:pt>
        </cx:lvl>
      </cx:numDim>
    </cx:data>
    <cx:data id="7">
      <cx:numDim type="val">
        <cx:f>Graphs!$I$421</cx:f>
        <cx:lvl ptCount="1" formatCode="General">
          <cx:pt idx="0">17.961726746773476</cx:pt>
        </cx:lvl>
      </cx:numDim>
    </cx:data>
  </cx:chartData>
  <cx:chart>
    <cx:plotArea>
      <cx:plotAreaRegion>
        <cx:series layoutId="boxWhisker" uniqueId="{00000002-BB3F-48FA-8CB8-8BBBB1763402}" formatIdx="2">
          <cx:tx>
            <cx:txData>
              <cx:f>Graphs!$B$420</cx:f>
              <cx:v>2017</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Graphs!$C$420</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Graphs!$D$420</cx:f>
              <cx:v>2018</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Graphs!$E$420</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Graphs!$F$420</cx:f>
              <cx:v>2019</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Graphs!$G$420</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series layoutId="boxWhisker" uniqueId="{00000000-000B-46EF-BD78-D751741EA66A}" formatIdx="6">
          <cx:tx>
            <cx:txData>
              <cx:f>Graphs!$H$420</cx:f>
              <cx:v>2020</cx:v>
            </cx:txData>
          </cx:tx>
          <cx:spPr>
            <a:solidFill>
              <a:srgbClr val="C00000"/>
            </a:solidFill>
          </cx:spPr>
          <cx:dataId val="6"/>
          <cx:layoutPr>
            <cx:visibility meanLine="0" meanMarker="1" nonoutliers="1" outliers="1"/>
            <cx:statistics quartileMethod="exclusive"/>
          </cx:layoutPr>
        </cx:series>
        <cx:series layoutId="boxWhisker" uniqueId="{00000001-000B-46EF-BD78-D751741EA66A}" formatIdx="7">
          <cx:tx>
            <cx:txData>
              <cx:f>Graphs!$I$420</cx:f>
              <cx:v>Cootamundra-Gundagai</cx:v>
            </cx:txData>
          </cx:tx>
          <cx:spPr>
            <a:solidFill>
              <a:srgbClr val="C00000"/>
            </a:solidFill>
            <a:ln>
              <a:solidFill>
                <a:srgbClr val="C00000"/>
              </a:solidFill>
            </a:ln>
          </cx:spPr>
          <cx:dataId val="7"/>
          <cx:layoutPr>
            <cx:visibility meanLine="0" meanMarker="1" nonoutliers="1" outliers="1"/>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6.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Graphs!$B$449:$B$466</cx:f>
        <cx:lvl ptCount="18" formatCode="General">
          <cx:pt idx="0">4.93531809321283</cx:pt>
          <cx:pt idx="1">5.1888621732723186</cx:pt>
          <cx:pt idx="2">3.0385321100917428</cx:pt>
          <cx:pt idx="3">6.2652884084273648</cx:pt>
          <cx:pt idx="4">3.7869631778261219</cx:pt>
          <cx:pt idx="5">3.1401655723665427</cx:pt>
          <cx:pt idx="6">3.912038881364035</cx:pt>
          <cx:pt idx="7">5.1536542646356347</cx:pt>
          <cx:pt idx="8">5.8350220526880436</cx:pt>
          <cx:pt idx="9">3.9411455596426697</cx:pt>
          <cx:pt idx="10">3.3818457138049971</cx:pt>
          <cx:pt idx="11">4.414622297789653</cx:pt>
          <cx:pt idx="12">7.6994006454587369</cx:pt>
          <cx:pt idx="13">3.9462947852533197</cx:pt>
          <cx:pt idx="14">5.2589321557607382</cx:pt>
          <cx:pt idx="15">4.0835837202950014</cx:pt>
          <cx:pt idx="16">2.9148448886112845</cx:pt>
          <cx:pt idx="17">2.0687996151070482</cx:pt>
        </cx:lvl>
      </cx:numDim>
    </cx:data>
    <cx:data id="1">
      <cx:numDim type="val">
        <cx:f>Graphs!$C$449</cx:f>
        <cx:lvl ptCount="1" formatCode="General">
          <cx:pt idx="0">4.93531809321283</cx:pt>
        </cx:lvl>
      </cx:numDim>
    </cx:data>
    <cx:data id="2">
      <cx:numDim type="val">
        <cx:f>Graphs!$D$449:$D$466</cx:f>
        <cx:lvl ptCount="18" formatCode="General">
          <cx:pt idx="0">4.9537531127712562</cx:pt>
          <cx:pt idx="1">4.9667851073690716</cx:pt>
          <cx:pt idx="2">2.9474457919882395</cx:pt>
          <cx:pt idx="3">6.1761462108082563</cx:pt>
          <cx:pt idx="4">3.7769206043072967</cx:pt>
          <cx:pt idx="5">2.9334087907941897</cx:pt>
          <cx:pt idx="6">3.8556324032117022</cx:pt>
          <cx:pt idx="7">5.1778382125526576</cx:pt>
          <cx:pt idx="8">5.6794528694617901</cx:pt>
          <cx:pt idx="9">3.8714198125602173</cx:pt>
          <cx:pt idx="10">3.3623285379725663</cx:pt>
          <cx:pt idx="11">4.5949729170470448</cx:pt>
          <cx:pt idx="12">7.4867939861844786</cx:pt>
          <cx:pt idx="13">3.7731586082241302</cx:pt>
          <cx:pt idx="14">4.9979873876291432</cx:pt>
          <cx:pt idx="15">4.1094007696536563</cx:pt>
          <cx:pt idx="16">2.8250963897651595</cx:pt>
          <cx:pt idx="17">2.1028735288846403</cx:pt>
        </cx:lvl>
      </cx:numDim>
    </cx:data>
    <cx:data id="3">
      <cx:numDim type="val">
        <cx:f>Graphs!$E$449</cx:f>
        <cx:lvl ptCount="1" formatCode="General">
          <cx:pt idx="0">4.9537531127712562</cx:pt>
        </cx:lvl>
      </cx:numDim>
    </cx:data>
    <cx:data id="4">
      <cx:numDim type="val">
        <cx:f>Graphs!$F$449:$F$466</cx:f>
        <cx:lvl ptCount="18" formatCode="General">
          <cx:pt idx="0">4.8490230905861456</cx:pt>
          <cx:pt idx="1">4.9757000694283731</cx:pt>
          <cx:pt idx="2">2.9970760233918128</cx:pt>
          <cx:pt idx="3">6.0076760397900841</cx:pt>
          <cx:pt idx="4">3.8838067725886694</cx:pt>
          <cx:pt idx="5">2.9758562605277934</cx:pt>
          <cx:pt idx="6">3.7200853013190116</cx:pt>
          <cx:pt idx="7">5.0154403151953995</cx:pt>
          <cx:pt idx="8">5.6518641652814061</cx:pt>
          <cx:pt idx="9">3.8992830914495542</cx:pt>
          <cx:pt idx="10">2.8882653903284368</cx:pt>
          <cx:pt idx="11">4.2605139473844842</cx:pt>
          <cx:pt idx="12">7.4343802154453051</cx:pt>
          <cx:pt idx="13">3.831909908548107</cx:pt>
          <cx:pt idx="14">4.8475896334094264</cx:pt>
          <cx:pt idx="15">4.2113955408753094</cx:pt>
          <cx:pt idx="16">2.9817158931082983</cx:pt>
          <cx:pt idx="17">2.0114434023476671</cx:pt>
        </cx:lvl>
      </cx:numDim>
    </cx:data>
    <cx:data id="5">
      <cx:numDim type="val">
        <cx:f>Graphs!$G$449</cx:f>
        <cx:lvl ptCount="1" formatCode="General">
          <cx:pt idx="0">4.8490230905861456</cx:pt>
        </cx:lvl>
      </cx:numDim>
    </cx:data>
    <cx:data id="6">
      <cx:numDim type="val">
        <cx:f>Graphs!$H$449:$H$466</cx:f>
        <cx:lvl ptCount="18" formatCode="General">
          <cx:pt idx="0">4.8242100578549181</cx:pt>
          <cx:pt idx="1">4.8707294552169902</cx:pt>
          <cx:pt idx="2">2.9851840985770863</cx:pt>
          <cx:pt idx="3">5.8228046770776114</cx:pt>
          <cx:pt idx="4">3.8594516362466829</cx:pt>
          <cx:pt idx="5">2.9450018580453365</cx:pt>
          <cx:pt idx="6">3.7378755618642061</cx:pt>
          <cx:pt idx="7">4.8331907613344738</cx:pt>
          <cx:pt idx="8">5.5476613380698643</cx:pt>
          <cx:pt idx="9">3.8095238095238098</cx:pt>
          <cx:pt idx="10">2.8222478956923585</cx:pt>
          <cx:pt idx="11">3.9567686389448617</cx:pt>
          <cx:pt idx="12">7.0891189093663227</cx:pt>
          <cx:pt idx="13">3.7761705367339173</cx:pt>
          <cx:pt idx="14">4.6505358226056481</cx:pt>
          <cx:pt idx="15">4.1370260377097869</cx:pt>
          <cx:pt idx="16">2.912552891396333</cx:pt>
          <cx:pt idx="17">1.902030783636683</cx:pt>
        </cx:lvl>
      </cx:numDim>
    </cx:data>
    <cx:data id="7">
      <cx:numDim type="val">
        <cx:f>Graphs!$I$449</cx:f>
        <cx:lvl ptCount="1" formatCode="General">
          <cx:pt idx="0">4.8242100578549181</cx:pt>
        </cx:lvl>
      </cx:numDim>
    </cx:data>
  </cx:chartData>
  <cx:chart>
    <cx:plotArea>
      <cx:plotAreaRegion>
        <cx:series layoutId="boxWhisker" uniqueId="{00000002-BB3F-48FA-8CB8-8BBBB1763402}" formatIdx="2">
          <cx:tx>
            <cx:txData>
              <cx:f>Graphs!$B$448</cx:f>
              <cx:v>2017</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Graphs!$C$448</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Graphs!$D$448</cx:f>
              <cx:v>2018</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Graphs!$E$448</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Graphs!$F$448</cx:f>
              <cx:v>2019</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Graphs!$G$448</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series layoutId="boxWhisker" uniqueId="{00000000-000B-46EF-BD78-D751741EA66A}" formatIdx="6">
          <cx:tx>
            <cx:txData>
              <cx:f>Graphs!$H$448</cx:f>
              <cx:v>2020</cx:v>
            </cx:txData>
          </cx:tx>
          <cx:spPr>
            <a:solidFill>
              <a:srgbClr val="C00000"/>
            </a:solidFill>
          </cx:spPr>
          <cx:dataId val="6"/>
          <cx:layoutPr>
            <cx:visibility meanLine="0" meanMarker="1" nonoutliers="1" outliers="1"/>
            <cx:statistics quartileMethod="exclusive"/>
          </cx:layoutPr>
        </cx:series>
        <cx:series layoutId="boxWhisker" uniqueId="{00000001-000B-46EF-BD78-D751741EA66A}" formatIdx="7">
          <cx:tx>
            <cx:txData>
              <cx:f>Graphs!$I$448</cx:f>
              <cx:v>Cootamundra-Gundagai</cx:v>
            </cx:txData>
          </cx:tx>
          <cx:spPr>
            <a:solidFill>
              <a:srgbClr val="C00000"/>
            </a:solidFill>
            <a:ln>
              <a:solidFill>
                <a:srgbClr val="C00000"/>
              </a:solidFill>
            </a:ln>
          </cx:spPr>
          <cx:dataId val="7"/>
          <cx:layoutPr>
            <cx:visibility meanLine="0" meanMarker="1" nonoutliers="1" outliers="1"/>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7.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Graphs!$B$477:$B$494</cx:f>
        <cx:lvl ptCount="18" formatCode="General">
          <cx:pt idx="0">3.3492822966507179</cx:pt>
          <cx:pt idx="1">5.1345691460482437</cx:pt>
          <cx:pt idx="2">2.1357798165137618</cx:pt>
          <cx:pt idx="3">4.4740787500986343</cx:pt>
          <cx:pt idx="4">3.311578438481992</cx:pt>
          <cx:pt idx="5">2.5406794176420213</cx:pt>
          <cx:pt idx="6">3.8722014182136881</cx:pt>
          <cx:pt idx="7">3.1792367708720342</cx:pt>
          <cx:pt idx="8">4.2436524019549404</cx:pt>
          <cx:pt idx="9">2.9777544228411279</cx:pt>
          <cx:pt idx="10">2.4985278034827965</cx:pt>
          <cx:pt idx="11">4.5057080398348308</cx:pt>
          <cx:pt idx="12">5.63495722555197</cx:pt>
          <cx:pt idx="13">4.0501446480231431</cx:pt>
          <cx:pt idx="14">4.2553191489361701</cx:pt>
          <cx:pt idx="15">3.2231630701993987</cx:pt>
          <cx:pt idx="16">2.7691026441807201</cx:pt>
          <cx:pt idx="17">1.2749579023334134</cx:pt>
        </cx:lvl>
      </cx:numDim>
    </cx:data>
    <cx:data id="1">
      <cx:numDim type="val">
        <cx:f>Graphs!$C$477</cx:f>
        <cx:lvl ptCount="1" formatCode="General">
          <cx:pt idx="0">3.3492822966507179</cx:pt>
        </cx:lvl>
      </cx:numDim>
    </cx:data>
    <cx:data id="2">
      <cx:numDim type="val">
        <cx:f>Graphs!$D$477:$D$494</cx:f>
        <cx:lvl ptCount="18" formatCode="General">
          <cx:pt idx="0">3.3617929562433297</cx:pt>
          <cx:pt idx="1">5.1521705546114624</cx:pt>
          <cx:pt idx="2">2.0066152149944871</cx:pt>
          <cx:pt idx="3">4.285489207499606</cx:pt>
          <cx:pt idx="4">3.3027965284474443</cx:pt>
          <cx:pt idx="5">2.5844180343331447</cx:pt>
          <cx:pt idx="6">3.8158836155497253</cx:pt>
          <cx:pt idx="7">3.1941556017703836</cx:pt>
          <cx:pt idx="8">4.4246208742194471</cx:pt>
          <cx:pt idx="9">3.1707103442235263</cx:pt>
          <cx:pt idx="10">2.4841083974573435</cx:pt>
          <cx:pt idx="11">4.375874870671292</cx:pt>
          <cx:pt idx="12">5.9630231613165376</cx:pt>
          <cx:pt idx="13">4.0367525229703274</cx:pt>
          <cx:pt idx="14">3.9044679994633036</cx:pt>
          <cx:pt idx="15">3.2435404068169325</cx:pt>
          <cx:pt idx="16">2.7620049071153172</cx:pt>
          <cx:pt idx="17">1.3023478105024195</cx:pt>
        </cx:lvl>
      </cx:numDim>
    </cx:data>
    <cx:data id="3">
      <cx:numDim type="val">
        <cx:f>Graphs!$E$477</cx:f>
        <cx:lvl ptCount="1" formatCode="General">
          <cx:pt idx="0">3.3617929562433297</cx:pt>
        </cx:lvl>
      </cx:numDim>
    </cx:data>
    <cx:data id="4">
      <cx:numDim type="val">
        <cx:f>Graphs!$F$477:$F$494</cx:f>
        <cx:lvl ptCount="18" formatCode="General">
          <cx:pt idx="0">3.7566607460035524</cx:pt>
          <cx:pt idx="1">4.6131296767723518</cx:pt>
          <cx:pt idx="2">1.9517543859649125</cx:pt>
          <cx:pt idx="3">4.3314795958330068</cx:pt>
          <cx:pt idx="4">3.1776600866634572</cx:pt>
          <cx:pt idx="5">2.3862998315553061</cx:pt>
          <cx:pt idx="6">3.7911697338282915</cx:pt>
          <cx:pt idx="7">3.5140027686082416</cx:pt>
          <cx:pt idx="8">4.2626454523866064</cx:pt>
          <cx:pt idx="9">3.2872879874103864</cx:pt>
          <cx:pt idx="10">2.4013863673873574</cx:pt>
          <cx:pt idx="11">4.1628517365561866</cx:pt>
          <cx:pt idx="12">6.2104890507257373</cx:pt>
          <cx:pt idx="13">4.10399818607815</cx:pt>
          <cx:pt idx="14">3.9076138042164628</cx:pt>
          <cx:pt idx="15">3.5026149187998898</cx:pt>
          <cx:pt idx="16">2.7988748241912798</cx:pt>
          <cx:pt idx="17">1.4038813189406005</cx:pt>
        </cx:lvl>
      </cx:numDim>
    </cx:data>
    <cx:data id="5">
      <cx:numDim type="val">
        <cx:f>Graphs!$G$477</cx:f>
        <cx:lvl ptCount="1" formatCode="General">
          <cx:pt idx="0">3.7566607460035524</cx:pt>
        </cx:lvl>
      </cx:numDim>
    </cx:data>
    <cx:data id="6">
      <cx:numDim type="val">
        <cx:f>Graphs!$H$477:$H$494</cx:f>
        <cx:lvl ptCount="18" formatCode="General">
          <cx:pt idx="0">3.2487761459724074</cx:pt>
          <cx:pt idx="1">4.2012927054478304</cx:pt>
          <cx:pt idx="2">1.8556549801965674</cx:pt>
          <cx:pt idx="3">4.4024170132621832</cx:pt>
          <cx:pt idx="4">3.1036423574817076</cx:pt>
          <cx:pt idx="5">2.3318468970642883</cx:pt>
          <cx:pt idx="6">3.6195883605393901</cx:pt>
          <cx:pt idx="7">3.3361847733105217</cx:pt>
          <cx:pt idx="8">4.2865600947306097</cx:pt>
          <cx:pt idx="9">3.1804281345565748</cx:pt>
          <cx:pt idx="10">2.2941079386037297</cx:pt>
          <cx:pt idx="11">4.0178298833730235</cx:pt>
          <cx:pt idx="12">5.8520575612219137</cx:pt>
          <cx:pt idx="13">4.0730871716787211</cx:pt>
          <cx:pt idx="14">3.7204286580845189</cx:pt>
          <cx:pt idx="15">3.2598936390634714</cx:pt>
          <cx:pt idx="16">2.7503526093088855</cx:pt>
          <cx:pt idx="17">1.3402001521624627</cx:pt>
        </cx:lvl>
      </cx:numDim>
    </cx:data>
    <cx:data id="7">
      <cx:numDim type="val">
        <cx:f>Graphs!$I$477</cx:f>
        <cx:lvl ptCount="1" formatCode="General">
          <cx:pt idx="0">3.2487761459724074</cx:pt>
        </cx:lvl>
      </cx:numDim>
    </cx:data>
  </cx:chartData>
  <cx:chart>
    <cx:plotArea>
      <cx:plotAreaRegion>
        <cx:series layoutId="boxWhisker" uniqueId="{00000002-BB3F-48FA-8CB8-8BBBB1763402}" formatIdx="2">
          <cx:tx>
            <cx:txData>
              <cx:f>Graphs!$B$476</cx:f>
              <cx:v>2017</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Graphs!$C$476</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Graphs!$D$476</cx:f>
              <cx:v>2018</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Graphs!$E$476</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Graphs!$F$476</cx:f>
              <cx:v>2019</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Graphs!$G$476</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series layoutId="boxWhisker" uniqueId="{00000000-000B-46EF-BD78-D751741EA66A}" formatIdx="6">
          <cx:tx>
            <cx:txData>
              <cx:f>Graphs!$H$476</cx:f>
              <cx:v>2020</cx:v>
            </cx:txData>
          </cx:tx>
          <cx:spPr>
            <a:solidFill>
              <a:srgbClr val="C00000"/>
            </a:solidFill>
          </cx:spPr>
          <cx:dataId val="6"/>
          <cx:layoutPr>
            <cx:visibility meanLine="0" meanMarker="1" nonoutliers="1" outliers="1"/>
            <cx:statistics quartileMethod="exclusive"/>
          </cx:layoutPr>
        </cx:series>
        <cx:series layoutId="boxWhisker" uniqueId="{00000001-000B-46EF-BD78-D751741EA66A}" formatIdx="7">
          <cx:tx>
            <cx:txData>
              <cx:f>Graphs!$I$476</cx:f>
              <cx:v>Cootamundra-Gundagai</cx:v>
            </cx:txData>
          </cx:tx>
          <cx:spPr>
            <a:solidFill>
              <a:srgbClr val="C00000"/>
            </a:solidFill>
            <a:ln>
              <a:solidFill>
                <a:srgbClr val="C00000"/>
              </a:solidFill>
            </a:ln>
          </cx:spPr>
          <cx:dataId val="7"/>
          <cx:layoutPr>
            <cx:visibility meanLine="0" meanMarker="1" nonoutliers="1" outliers="1"/>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8.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Graphs!$B$504:$B$521</cx:f>
        <cx:lvl ptCount="18" formatCode="General">
          <cx:pt idx="0">1.1075668970405814</cx:pt>
          <cx:pt idx="1">1.4891801752889164</cx:pt>
          <cx:pt idx="2">1.0275229357798166</cx:pt>
          <cx:pt idx="3">1.7991004497751124</cx:pt>
          <cx:pt idx="4">1.2569494802997341</cx:pt>
          <cx:pt idx="5">0.92301836521077174</cx:pt>
          <cx:pt idx="6">1.9361007091068441</cx:pt>
          <cx:pt idx="7">1.7408842418130672</cx:pt>
          <cx:pt idx="8">2.2708308499225174</cx:pt>
          <cx:pt idx="9">1.8129269574356282</cx:pt>
          <cx:pt idx="10">1.1020442500210315</cx:pt>
          <cx:pt idx="11">2.4714598008258442</cx:pt>
          <cx:pt idx="12">2.0541980431330362</cx:pt>
          <cx:pt idx="13">2.0695794080557821</cx:pt>
          <cx:pt idx="14">1.90686471296668</cx:pt>
          <cx:pt idx="15">1.4340344168260037</cx:pt>
          <cx:pt idx="16">1.1798181691998058</cx:pt>
          <cx:pt idx="17">0.74573009381765698</cx:pt>
        </cx:lvl>
      </cx:numDim>
    </cx:data>
    <cx:data id="1">
      <cx:numDim type="val">
        <cx:f>Graphs!$C$504</cx:f>
        <cx:lvl ptCount="1" formatCode="General">
          <cx:pt idx="0">1.1075668970405814</cx:pt>
        </cx:lvl>
      </cx:numDim>
    </cx:data>
    <cx:data id="2">
      <cx:numDim type="val">
        <cx:f>Graphs!$D$504:$D$521</cx:f>
        <cx:lvl ptCount="18" formatCode="General">
          <cx:pt idx="0">1.1117040199217358</cx:pt>
          <cx:pt idx="1">1.4753591843040321</cx:pt>
          <cx:pt idx="2">1.1025358324145533</cx:pt>
          <cx:pt idx="3">1.7803686781156451</cx:pt>
          <cx:pt idx="4">1.253616200578592</cx:pt>
          <cx:pt idx="5">0.94321826070552728</cx:pt>
          <cx:pt idx="6">1.9874393830988153</cx:pt>
          <cx:pt idx="7">1.7490534847757693</cx:pt>
          <cx:pt idx="8">2.2360987213797205</cx:pt>
          <cx:pt idx="9">1.7955680126127704</cx:pt>
          <cx:pt idx="10">1.0956841753094682</cx:pt>
          <cx:pt idx="11">2.6048323291339539</cx:pt>
          <cx:pt idx="12">2.0062982527427877</cx:pt>
          <cx:pt idx="13">2.0485012803133</cx:pt>
          <cx:pt idx="14">1.9052730444116464</cx:pt>
          <cx:pt idx="15">1.4431006047278725</cx:pt>
          <cx:pt idx="16">1.1847178408692605</cx:pt>
          <cx:pt idx="17">0.68104426787741201</cx:pt>
        </cx:lvl>
      </cx:numDim>
    </cx:data>
    <cx:data id="3">
      <cx:numDim type="val">
        <cx:f>Graphs!$E$504</cx:f>
        <cx:lvl ptCount="1" formatCode="General">
          <cx:pt idx="0">1.1117040199217358</cx:pt>
        </cx:lvl>
      </cx:numDim>
    </cx:data>
    <cx:data id="4">
      <cx:numDim type="val">
        <cx:f>Graphs!$F$504:$F$521</cx:f>
        <cx:lvl ptCount="18" formatCode="General">
          <cx:pt idx="0">1.1190053285968029</cx:pt>
          <cx:pt idx="1">1.3577104065416956</cx:pt>
          <cx:pt idx="2">0.95760233918128668</cx:pt>
          <cx:pt idx="4">1.0993419996790244</cx:pt>
          <cx:pt idx="5">1.0293842410630731</cx:pt>
          <cx:pt idx="6">1.8955848669141457</cx:pt>
          <cx:pt idx="7">1.5919497391119155</cx:pt>
          <cx:pt idx="8">2.2263120398955119</cx:pt>
          <cx:pt idx="9">1.7660430145130266</cx:pt>
          <cx:pt idx="10">0.88298399075755074</cx:pt>
          <cx:pt idx="11">2.3194775071720688</cx:pt>
          <cx:pt idx="12">1.9521569817427804</cx:pt>
          <cx:pt idx="13">2.0179880583478194</cx:pt>
          <cx:pt idx="14">1.9605210151738957</cx:pt>
          <cx:pt idx="15">1.3212221304706853</cx:pt>
          <cx:pt idx="16">1.0829817158931083</cx:pt>
          <cx:pt idx="17">0.66065003244263554</cx:pt>
        </cx:lvl>
      </cx:numDim>
    </cx:data>
    <cx:data id="5">
      <cx:numDim type="val">
        <cx:f>Graphs!$G$504</cx:f>
        <cx:lvl ptCount="1" formatCode="General">
          <cx:pt idx="0">1.1190053285968029</cx:pt>
        </cx:lvl>
      </cx:numDim>
    </cx:data>
    <cx:data id="6">
      <cx:numDim type="val">
        <cx:f>Graphs!$H$504:$H$521</cx:f>
        <cx:lvl ptCount="18" formatCode="General">
          <cx:pt idx="0">1.2016021361815754</cx:pt>
          <cx:pt idx="1">1.3004001231148046</cx:pt>
          <cx:pt idx="2">0.96816781575473077</cx:pt>
          <cx:pt idx="3">1.5930314682570823</cx:pt>
          <cx:pt idx="4">0.86837661815550371</cx:pt>
          <cx:pt idx="5">0.96618357487922701</cx:pt>
          <cx:pt idx="6">1.8531661540887943</cx:pt>
          <cx:pt idx="7">1.416809238665526</cx:pt>
          <cx:pt idx="8">2.0011841326228534</cx:pt>
          <cx:pt idx="9">1.6775884665792922</cx:pt>
          <cx:pt idx="10">0.825218682950982</cx:pt>
          <cx:pt idx="11">2.0272333150149602</cx:pt>
          <cx:pt idx="12">1.7823781873264326</cx:pt>
          <cx:pt idx="13">1.8804720213170918</cx:pt>
          <cx:pt idx="14">1.7388960032351555</cx:pt>
          <cx:pt idx="15">1.1741142344084536</cx:pt>
          <cx:pt idx="16">0.9308885754583921</cx:pt>
          <cx:pt idx="17">0.65546907005325683</cx:pt>
        </cx:lvl>
      </cx:numDim>
    </cx:data>
    <cx:data id="7">
      <cx:numDim type="val">
        <cx:f>Graphs!$I$504</cx:f>
        <cx:lvl ptCount="1" formatCode="General">
          <cx:pt idx="0">1.2016021361815754</cx:pt>
        </cx:lvl>
      </cx:numDim>
    </cx:data>
  </cx:chartData>
  <cx:chart>
    <cx:plotArea>
      <cx:plotAreaRegion>
        <cx:series layoutId="boxWhisker" uniqueId="{00000002-BB3F-48FA-8CB8-8BBBB1763402}" formatIdx="2">
          <cx:tx>
            <cx:txData>
              <cx:f>Graphs!$B$503</cx:f>
              <cx:v>2017</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Graphs!$C$503</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Graphs!$D$503</cx:f>
              <cx:v>2018</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Graphs!$E$503</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Graphs!$F$503</cx:f>
              <cx:v>2019</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Graphs!$G$503</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series layoutId="boxWhisker" uniqueId="{00000000-000B-46EF-BD78-D751741EA66A}" formatIdx="6">
          <cx:tx>
            <cx:txData>
              <cx:f>Graphs!$H$503</cx:f>
              <cx:v>2020</cx:v>
            </cx:txData>
          </cx:tx>
          <cx:spPr>
            <a:solidFill>
              <a:srgbClr val="C00000"/>
            </a:solidFill>
          </cx:spPr>
          <cx:dataId val="6"/>
          <cx:layoutPr>
            <cx:visibility meanLine="0" meanMarker="1" nonoutliers="1" outliers="1"/>
            <cx:statistics quartileMethod="exclusive"/>
          </cx:layoutPr>
        </cx:series>
        <cx:series layoutId="boxWhisker" uniqueId="{00000001-000B-46EF-BD78-D751741EA66A}" formatIdx="7">
          <cx:tx>
            <cx:txData>
              <cx:f>Graphs!$I$503</cx:f>
              <cx:v>Cootamundra-Gundagai</cx:v>
            </cx:txData>
          </cx:tx>
          <cx:spPr>
            <a:solidFill>
              <a:srgbClr val="C00000"/>
            </a:solidFill>
            <a:ln>
              <a:solidFill>
                <a:srgbClr val="C00000"/>
              </a:solidFill>
            </a:ln>
          </cx:spPr>
          <cx:dataId val="7"/>
          <cx:layoutPr>
            <cx:visibility meanLine="0" meanMarker="1" nonoutliers="1" outliers="1"/>
            <cx:statistics quartileMethod="exclusive"/>
          </cx:layoutPr>
        </cx:series>
      </cx:plotAreaRegion>
      <cx:axis id="0" hidden="1">
        <cx:catScaling gapWidth="0.0500000007"/>
        <cx:tickLabels/>
      </cx:axis>
      <cx:axis id="1">
        <cx:valScaling/>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hartEx9.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Graphs!$B$533:$B$551</cx:f>
        <cx:lvl ptCount="19" formatCode="General">
          <cx:pt idx="0">39476</cx:pt>
          <cx:pt idx="1">36732</cx:pt>
          <cx:pt idx="2">42385</cx:pt>
          <cx:pt idx="3">37290</cx:pt>
          <cx:pt idx="4">40481</cx:pt>
          <cx:pt idx="5">38920</cx:pt>
          <cx:pt idx="6">42791</cx:pt>
          <cx:pt idx="7">37840</cx:pt>
          <cx:pt idx="8">38856</cx:pt>
          <cx:pt idx="9">44265</cx:pt>
          <cx:pt idx="10">37610</cx:pt>
          <cx:pt idx="11">51991</cx:pt>
          <cx:pt idx="12">36469</cx:pt>
          <cx:pt idx="13">41650</cx:pt>
          <cx:pt idx="14">41769</cx:pt>
          <cx:pt idx="15">42712</cx:pt>
          <cx:pt idx="16">43968</cx:pt>
          <cx:pt idx="17">55311</cx:pt>
          <cx:pt idx="18">42394</cx:pt>
        </cx:lvl>
      </cx:numDim>
    </cx:data>
    <cx:data id="1">
      <cx:numDim type="val">
        <cx:f>Graphs!$C$533</cx:f>
        <cx:lvl ptCount="1" formatCode="General">
          <cx:pt idx="0">39476</cx:pt>
        </cx:lvl>
      </cx:numDim>
    </cx:data>
    <cx:data id="2">
      <cx:numDim type="val">
        <cx:f>Graphs!$D$533:$D$551</cx:f>
        <cx:lvl ptCount="19" formatCode="General">
          <cx:pt idx="0">40908</cx:pt>
          <cx:pt idx="1">38420</cx:pt>
          <cx:pt idx="2">44240</cx:pt>
          <cx:pt idx="3">38656</cx:pt>
          <cx:pt idx="4">41409</cx:pt>
          <cx:pt idx="5">41117</cx:pt>
          <cx:pt idx="6">44808</cx:pt>
          <cx:pt idx="7">39088</cx:pt>
          <cx:pt idx="8">40715</cx:pt>
          <cx:pt idx="9">45783</cx:pt>
          <cx:pt idx="10">40311</cx:pt>
          <cx:pt idx="11">53851</cx:pt>
          <cx:pt idx="12">38527</cx:pt>
          <cx:pt idx="13">43518</cx:pt>
          <cx:pt idx="14">43520</cx:pt>
          <cx:pt idx="15">43776</cx:pt>
          <cx:pt idx="16">47118</cx:pt>
          <cx:pt idx="17">57814</cx:pt>
          <cx:pt idx="18">43896</cx:pt>
        </cx:lvl>
      </cx:numDim>
    </cx:data>
    <cx:data id="3">
      <cx:numDim type="val">
        <cx:f>Graphs!$E$533</cx:f>
        <cx:lvl ptCount="1" formatCode="General">
          <cx:pt idx="0">40908</cx:pt>
        </cx:lvl>
      </cx:numDim>
    </cx:data>
    <cx:data id="4">
      <cx:numDim type="val">
        <cx:f>Graphs!$F$533:$F$551</cx:f>
        <cx:lvl ptCount="19" formatCode="General">
          <cx:pt idx="0">42005</cx:pt>
          <cx:pt idx="1">39879.605864509096</cx:pt>
          <cx:pt idx="2">45548</cx:pt>
          <cx:pt idx="3">40067</cx:pt>
          <cx:pt idx="4">42534.872317162284</cx:pt>
          <cx:pt idx="5">42734</cx:pt>
          <cx:pt idx="6">46933.831043089696</cx:pt>
          <cx:pt idx="7">40483</cx:pt>
          <cx:pt idx="8">42265.962713691813</cx:pt>
          <cx:pt idx="9">47820</cx:pt>
          <cx:pt idx="10">42149</cx:pt>
          <cx:pt idx="11">54647.756512964843</cx:pt>
          <cx:pt idx="12">40432.754743140955</cx:pt>
          <cx:pt idx="13">44531</cx:pt>
          <cx:pt idx="14">44818</cx:pt>
          <cx:pt idx="15">44756</cx:pt>
          <cx:pt idx="16">48546</cx:pt>
          <cx:pt idx="17">59640</cx:pt>
          <cx:pt idx="18">45250.847924752889</cx:pt>
        </cx:lvl>
      </cx:numDim>
    </cx:data>
    <cx:data id="5">
      <cx:numDim type="val">
        <cx:f>Graphs!$G$533</cx:f>
        <cx:lvl ptCount="1" formatCode="General">
          <cx:pt idx="0">42005</cx:pt>
        </cx:lvl>
      </cx:numDim>
    </cx:data>
  </cx:chartData>
  <cx:chart>
    <cx:plotArea>
      <cx:plotAreaRegion>
        <cx:series layoutId="boxWhisker" uniqueId="{00000002-BB3F-48FA-8CB8-8BBBB1763402}" formatIdx="2">
          <cx:tx>
            <cx:txData>
              <cx:f>Graphs!$B$532</cx:f>
              <cx:v>2015</cx:v>
            </cx:txData>
          </cx:tx>
          <cx:spPr>
            <a:solidFill>
              <a:srgbClr val="0070C0"/>
            </a:solidFill>
          </cx:spPr>
          <cx:dataId val="0"/>
          <cx:layoutPr>
            <cx:visibility meanLine="0" meanMarker="1" nonoutliers="1" outliers="1"/>
            <cx:statistics quartileMethod="exclusive"/>
          </cx:layoutPr>
        </cx:series>
        <cx:series layoutId="boxWhisker" uniqueId="{00000000-464D-4744-B626-803B7345E94C}" formatIdx="0">
          <cx:tx>
            <cx:txData>
              <cx:f>Graphs!$C$532</cx:f>
              <cx:v>Cootamundra-Gundagai</cx:v>
            </cx:txData>
          </cx:tx>
          <cx:dataId val="1"/>
          <cx:layoutPr>
            <cx:visibility meanLine="0" meanMarker="1" nonoutliers="1" outliers="1"/>
            <cx:statistics quartileMethod="exclusive"/>
          </cx:layoutPr>
        </cx:series>
        <cx:series layoutId="boxWhisker" uniqueId="{00000001-464D-4744-B626-803B7345E94C}" formatIdx="1">
          <cx:tx>
            <cx:txData>
              <cx:f>Graphs!$D$532</cx:f>
              <cx:v>2016</cx:v>
            </cx:txData>
          </cx:tx>
          <cx:spPr>
            <a:solidFill>
              <a:srgbClr val="FFC000"/>
            </a:solidFill>
          </cx:spPr>
          <cx:dataId val="2"/>
          <cx:layoutPr>
            <cx:visibility meanLine="0" meanMarker="1" nonoutliers="1" outliers="1"/>
            <cx:statistics quartileMethod="exclusive"/>
          </cx:layoutPr>
        </cx:series>
        <cx:series layoutId="boxWhisker" uniqueId="{00000000-BBA4-4587-90F5-55823230BAB6}" formatIdx="3">
          <cx:tx>
            <cx:txData>
              <cx:f>Graphs!$E$532</cx:f>
              <cx:v>Cootamundra-Gundagai</cx:v>
            </cx:txData>
          </cx:tx>
          <cx:spPr>
            <a:solidFill>
              <a:srgbClr val="FFC000"/>
            </a:solidFill>
            <a:ln>
              <a:solidFill>
                <a:srgbClr val="FFC000"/>
              </a:solidFill>
            </a:ln>
          </cx:spPr>
          <cx:dataId val="3"/>
          <cx:layoutPr>
            <cx:visibility meanLine="0" meanMarker="1" nonoutliers="1" outliers="1"/>
            <cx:statistics quartileMethod="exclusive"/>
          </cx:layoutPr>
        </cx:series>
        <cx:series layoutId="boxWhisker" uniqueId="{00000001-BBA4-4587-90F5-55823230BAB6}" formatIdx="4">
          <cx:tx>
            <cx:txData>
              <cx:f>Graphs!$F$532</cx:f>
              <cx:v>2017</cx:v>
            </cx:txData>
          </cx:tx>
          <cx:spPr>
            <a:solidFill>
              <a:srgbClr val="92D050"/>
            </a:solidFill>
          </cx:spPr>
          <cx:dataId val="4"/>
          <cx:layoutPr>
            <cx:visibility meanLine="0" meanMarker="1" nonoutliers="1" outliers="1"/>
            <cx:statistics quartileMethod="exclusive"/>
          </cx:layoutPr>
        </cx:series>
        <cx:series layoutId="boxWhisker" uniqueId="{00000000-9905-4E02-8D16-F29EFFDE3250}" formatIdx="5">
          <cx:tx>
            <cx:txData>
              <cx:f>Graphs!$G$532</cx:f>
              <cx:v>Cootamundra-Gundagai</cx:v>
            </cx:txData>
          </cx:tx>
          <cx:spPr>
            <a:solidFill>
              <a:srgbClr val="92D050"/>
            </a:solidFill>
            <a:ln>
              <a:solidFill>
                <a:srgbClr val="92D050"/>
              </a:solidFill>
            </a:ln>
          </cx:spPr>
          <cx:dataId val="5"/>
          <cx:layoutPr>
            <cx:visibility meanLine="0" meanMarker="1" nonoutliers="1" outliers="1"/>
            <cx:statistics quartileMethod="exclusive"/>
          </cx:layoutPr>
        </cx:series>
      </cx:plotAreaRegion>
      <cx:axis id="0" hidden="1">
        <cx:catScaling gapWidth="0.0500000007"/>
        <cx:tickLabels/>
      </cx:axis>
      <cx:axis id="1">
        <cx:valScaling min="30000"/>
        <cx:majorGridlines>
          <cx:spPr>
            <a:ln>
              <a:noFill/>
            </a:ln>
          </cx:spPr>
        </cx:majorGridlines>
        <cx:majorTickMarks type="in"/>
        <cx:tickLabels/>
        <cx:numFmt formatCode="#,##0" sourceLinked="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legend pos="b" align="ctr" overlay="0">
      <cx:txPr>
        <a:bodyPr spcFirstLastPara="1" vertOverflow="ellipsis" horzOverflow="overflow" wrap="square" lIns="0" tIns="0" rIns="0" bIns="0" anchor="ctr" anchorCtr="1"/>
        <a:lstStyle/>
        <a:p>
          <a:pPr algn="ctr" rtl="0">
            <a:defRPr sz="1200">
              <a:latin typeface="Arial" panose="020B0604020202020204" pitchFamily="34" charset="0"/>
              <a:ea typeface="Arial" panose="020B0604020202020204" pitchFamily="34" charset="0"/>
              <a:cs typeface="Arial" panose="020B0604020202020204" pitchFamily="34" charset="0"/>
            </a:defRPr>
          </a:pPr>
          <a:endParaRPr lang="en-US" sz="12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0810-B03D-4B26-82BC-A09646FF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McQuestin</dc:creator>
  <cp:keywords/>
  <dc:description/>
  <cp:lastModifiedBy>Marianne McInerney</cp:lastModifiedBy>
  <cp:revision>3</cp:revision>
  <cp:lastPrinted>2020-12-31T05:38:00Z</cp:lastPrinted>
  <dcterms:created xsi:type="dcterms:W3CDTF">2021-01-06T21:57:00Z</dcterms:created>
  <dcterms:modified xsi:type="dcterms:W3CDTF">2021-02-08T03:17:00Z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2020-12-17T00:27:50Z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da6d4384-d7c3-4bac-affc-4e01499524f1</vt:lpwstr>
  </property>
  <property fmtid="{D5CDD505-2E9C-101B-9397-08002B2CF9AE}" pid="8" name="MSIP_Label_51a6c3db-1667-4f49-995a-8b9973972958_ContentBits">
    <vt:lpwstr>0</vt:lpwstr>
  </property>
</Properties>
</file>