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B04C3" w14:textId="7096F720" w:rsidR="004B7DFE" w:rsidRPr="00565A26" w:rsidRDefault="00792196" w:rsidP="00F41501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Fact Sheet: </w:t>
      </w:r>
      <w:r w:rsidR="00F92499" w:rsidRPr="00565A26">
        <w:rPr>
          <w:rFonts w:cs="Arial"/>
          <w:b/>
          <w:sz w:val="22"/>
        </w:rPr>
        <w:t>Proposed Special Rate Variation</w:t>
      </w:r>
    </w:p>
    <w:p w14:paraId="70F25AFE" w14:textId="77777777" w:rsidR="00F92499" w:rsidRPr="00565A26" w:rsidRDefault="00F92499">
      <w:pPr>
        <w:rPr>
          <w:rFonts w:cs="Arial"/>
          <w:sz w:val="22"/>
        </w:rPr>
      </w:pPr>
      <w:r w:rsidRPr="00565A26">
        <w:rPr>
          <w:rFonts w:cs="Arial"/>
          <w:sz w:val="22"/>
        </w:rPr>
        <w:t>Cootamundra-Gundagai Regional Council has indicated that it will apply to the Independent Pricing and Regulatory Tribunal (IPART) for a Special Rate Variation (SRV) for the 2021-22 year.</w:t>
      </w:r>
      <w:r w:rsidR="00442278" w:rsidRPr="00565A26">
        <w:rPr>
          <w:rFonts w:cs="Arial"/>
          <w:sz w:val="22"/>
        </w:rPr>
        <w:t xml:space="preserve"> A special rate variation allows Council to increase rates by more than the annual IPART rate cap.</w:t>
      </w:r>
      <w:r w:rsidR="00954CD6" w:rsidRPr="00565A26">
        <w:rPr>
          <w:rFonts w:cs="Arial"/>
          <w:sz w:val="22"/>
        </w:rPr>
        <w:t xml:space="preserve"> Ratepayers can find more </w:t>
      </w:r>
      <w:r w:rsidR="00EA7C50" w:rsidRPr="00565A26">
        <w:rPr>
          <w:rFonts w:cs="Arial"/>
          <w:sz w:val="22"/>
        </w:rPr>
        <w:t>information</w:t>
      </w:r>
      <w:r w:rsidR="00954CD6" w:rsidRPr="00565A26">
        <w:rPr>
          <w:rFonts w:cs="Arial"/>
          <w:sz w:val="22"/>
        </w:rPr>
        <w:t xml:space="preserve"> about the SRV process at: </w:t>
      </w:r>
      <w:hyperlink r:id="rId8" w:history="1">
        <w:r w:rsidR="00954CD6" w:rsidRPr="00565A26">
          <w:rPr>
            <w:rStyle w:val="Hyperlink"/>
            <w:rFonts w:cs="Arial"/>
            <w:sz w:val="22"/>
          </w:rPr>
          <w:t>https://www.ipart.nsw.gov.au/Home/Industries/Local-Government/Special-Variations</w:t>
        </w:r>
      </w:hyperlink>
    </w:p>
    <w:p w14:paraId="1C99BE48" w14:textId="630DB20B" w:rsidR="00F92499" w:rsidRPr="0064331F" w:rsidRDefault="00F92499">
      <w:pPr>
        <w:rPr>
          <w:rFonts w:cs="Arial"/>
          <w:i/>
          <w:sz w:val="22"/>
          <w:lang w:val="en-US"/>
        </w:rPr>
      </w:pPr>
      <w:r w:rsidRPr="0064331F">
        <w:rPr>
          <w:rFonts w:cs="Arial"/>
          <w:sz w:val="22"/>
        </w:rPr>
        <w:t xml:space="preserve">The purpose of the SRV </w:t>
      </w:r>
      <w:r w:rsidRPr="0064331F">
        <w:rPr>
          <w:rFonts w:cs="Arial"/>
          <w:i/>
          <w:sz w:val="22"/>
          <w:lang w:val="en-US"/>
        </w:rPr>
        <w:t>is to try to assure financial sustainability, with a view to maintaining service levels wherever possible</w:t>
      </w:r>
      <w:r w:rsidR="00052752" w:rsidRPr="0064331F">
        <w:rPr>
          <w:rFonts w:cs="Arial"/>
          <w:i/>
          <w:sz w:val="22"/>
          <w:lang w:val="en-US"/>
        </w:rPr>
        <w:t xml:space="preserve">, </w:t>
      </w:r>
      <w:r w:rsidR="003C36CF" w:rsidRPr="0064331F">
        <w:rPr>
          <w:rFonts w:cs="Arial"/>
          <w:i/>
          <w:sz w:val="22"/>
          <w:lang w:val="en-US"/>
        </w:rPr>
        <w:t>including planned asset renewals</w:t>
      </w:r>
      <w:r w:rsidRPr="0064331F">
        <w:rPr>
          <w:rFonts w:cs="Arial"/>
          <w:i/>
          <w:sz w:val="22"/>
          <w:lang w:val="en-US"/>
        </w:rPr>
        <w:t xml:space="preserve">, in response to very significant cost pressures imposed by the May 2016 forced </w:t>
      </w:r>
      <w:r w:rsidR="003C36CF" w:rsidRPr="0064331F">
        <w:rPr>
          <w:rFonts w:cs="Arial"/>
          <w:i/>
          <w:sz w:val="22"/>
          <w:lang w:val="en-US"/>
        </w:rPr>
        <w:t>amalgamation and</w:t>
      </w:r>
      <w:r w:rsidRPr="0064331F">
        <w:rPr>
          <w:rFonts w:cs="Arial"/>
          <w:i/>
          <w:sz w:val="22"/>
          <w:lang w:val="en-US"/>
        </w:rPr>
        <w:t xml:space="preserve"> subsequent rate path freeze</w:t>
      </w:r>
      <w:r w:rsidR="003C36CF" w:rsidRPr="0064331F">
        <w:rPr>
          <w:rFonts w:cs="Arial"/>
          <w:i/>
          <w:sz w:val="22"/>
          <w:lang w:val="en-US"/>
        </w:rPr>
        <w:t>.</w:t>
      </w:r>
    </w:p>
    <w:p w14:paraId="51259B4F" w14:textId="4C9CF5BB" w:rsidR="009D5B93" w:rsidRPr="00565A26" w:rsidRDefault="00F92499">
      <w:pPr>
        <w:rPr>
          <w:rFonts w:cs="Arial"/>
          <w:sz w:val="22"/>
        </w:rPr>
      </w:pPr>
      <w:r w:rsidRPr="0064331F">
        <w:rPr>
          <w:rFonts w:cs="Arial"/>
          <w:sz w:val="22"/>
        </w:rPr>
        <w:t xml:space="preserve">The cumulative impact of the </w:t>
      </w:r>
      <w:r w:rsidR="00052752" w:rsidRPr="0064331F">
        <w:rPr>
          <w:rFonts w:cs="Arial"/>
          <w:sz w:val="22"/>
        </w:rPr>
        <w:t>S</w:t>
      </w:r>
      <w:r w:rsidRPr="0064331F">
        <w:rPr>
          <w:rFonts w:cs="Arial"/>
          <w:sz w:val="22"/>
        </w:rPr>
        <w:t xml:space="preserve">pecial </w:t>
      </w:r>
      <w:r w:rsidR="00052752" w:rsidRPr="0064331F">
        <w:rPr>
          <w:rFonts w:cs="Arial"/>
          <w:sz w:val="22"/>
        </w:rPr>
        <w:t>R</w:t>
      </w:r>
      <w:r w:rsidRPr="0064331F">
        <w:rPr>
          <w:rFonts w:cs="Arial"/>
          <w:sz w:val="22"/>
        </w:rPr>
        <w:t xml:space="preserve">ate </w:t>
      </w:r>
      <w:r w:rsidR="00052752" w:rsidRPr="0064331F">
        <w:rPr>
          <w:rFonts w:cs="Arial"/>
          <w:sz w:val="22"/>
        </w:rPr>
        <w:t>V</w:t>
      </w:r>
      <w:r w:rsidRPr="0064331F">
        <w:rPr>
          <w:rFonts w:cs="Arial"/>
          <w:sz w:val="22"/>
        </w:rPr>
        <w:t xml:space="preserve">ariation is </w:t>
      </w:r>
      <w:r w:rsidR="00055E82" w:rsidRPr="0064331F">
        <w:rPr>
          <w:rFonts w:cs="Arial"/>
          <w:sz w:val="22"/>
        </w:rPr>
        <w:t xml:space="preserve">substantial and sits at </w:t>
      </w:r>
      <w:r w:rsidRPr="0064331F">
        <w:rPr>
          <w:rFonts w:cs="Arial"/>
          <w:sz w:val="22"/>
        </w:rPr>
        <w:t xml:space="preserve">62.6 percent over five years, including the assumed rate peg. This will be a permanent </w:t>
      </w:r>
      <w:r w:rsidR="009F27F6" w:rsidRPr="0064331F">
        <w:rPr>
          <w:rFonts w:cs="Arial"/>
          <w:sz w:val="22"/>
        </w:rPr>
        <w:t>increase to the rate base</w:t>
      </w:r>
      <w:r w:rsidR="009F27F6" w:rsidRPr="0064331F">
        <w:rPr>
          <w:rStyle w:val="FootnoteReference"/>
          <w:rFonts w:cs="Arial"/>
          <w:sz w:val="22"/>
        </w:rPr>
        <w:footnoteReference w:id="1"/>
      </w:r>
      <w:r w:rsidRPr="0064331F">
        <w:rPr>
          <w:rFonts w:cs="Arial"/>
          <w:sz w:val="22"/>
        </w:rPr>
        <w:t xml:space="preserve">. At the end of this </w:t>
      </w:r>
      <w:r w:rsidR="00052752" w:rsidRPr="0064331F">
        <w:rPr>
          <w:rFonts w:cs="Arial"/>
          <w:sz w:val="22"/>
        </w:rPr>
        <w:t>F</w:t>
      </w:r>
      <w:r w:rsidRPr="0064331F">
        <w:rPr>
          <w:rFonts w:cs="Arial"/>
          <w:sz w:val="22"/>
        </w:rPr>
        <w:t xml:space="preserve">act </w:t>
      </w:r>
      <w:r w:rsidR="00052752" w:rsidRPr="0064331F">
        <w:rPr>
          <w:rFonts w:cs="Arial"/>
          <w:sz w:val="22"/>
        </w:rPr>
        <w:t>S</w:t>
      </w:r>
      <w:r w:rsidRPr="0064331F">
        <w:rPr>
          <w:rFonts w:cs="Arial"/>
          <w:sz w:val="22"/>
        </w:rPr>
        <w:t>heet we provide tables to show the average impact</w:t>
      </w:r>
      <w:r w:rsidR="00DE4477" w:rsidRPr="0064331F">
        <w:rPr>
          <w:rFonts w:cs="Arial"/>
          <w:sz w:val="22"/>
        </w:rPr>
        <w:t xml:space="preserve"> (in both percent and dollar terms)</w:t>
      </w:r>
      <w:r w:rsidRPr="0064331F">
        <w:rPr>
          <w:rFonts w:cs="Arial"/>
          <w:sz w:val="22"/>
        </w:rPr>
        <w:t xml:space="preserve"> for each of the three </w:t>
      </w:r>
      <w:r w:rsidRPr="00565A26">
        <w:rPr>
          <w:rFonts w:cs="Arial"/>
          <w:sz w:val="22"/>
        </w:rPr>
        <w:t xml:space="preserve">rating categories – residential, farm, and business – although we stress that the precise outcome for each ratepayer is dependent on the particular land valuation for the property. </w:t>
      </w:r>
    </w:p>
    <w:p w14:paraId="2AC406A8" w14:textId="7E92CB6A" w:rsidR="00DE4477" w:rsidRPr="00565A26" w:rsidRDefault="00DE4477">
      <w:pPr>
        <w:rPr>
          <w:rFonts w:cs="Arial"/>
          <w:sz w:val="22"/>
        </w:rPr>
      </w:pPr>
      <w:r w:rsidRPr="00565A26">
        <w:rPr>
          <w:rFonts w:cs="Arial"/>
          <w:sz w:val="22"/>
        </w:rPr>
        <w:t xml:space="preserve">Residents might note that this application is indeed a variation to the existing temporary SRV granted to </w:t>
      </w:r>
      <w:r w:rsidRPr="0064331F">
        <w:rPr>
          <w:rFonts w:cs="Arial"/>
          <w:sz w:val="22"/>
        </w:rPr>
        <w:t xml:space="preserve">Gundagai </w:t>
      </w:r>
      <w:r w:rsidR="00C614C9" w:rsidRPr="0064331F">
        <w:rPr>
          <w:rFonts w:cs="Arial"/>
          <w:sz w:val="22"/>
        </w:rPr>
        <w:t xml:space="preserve">for </w:t>
      </w:r>
      <w:r w:rsidR="00052752" w:rsidRPr="0064331F">
        <w:rPr>
          <w:rFonts w:cs="Arial"/>
          <w:sz w:val="22"/>
        </w:rPr>
        <w:t>its</w:t>
      </w:r>
      <w:r w:rsidR="00C614C9" w:rsidRPr="0064331F">
        <w:rPr>
          <w:rFonts w:cs="Arial"/>
          <w:sz w:val="22"/>
        </w:rPr>
        <w:t xml:space="preserve"> main street upgrade </w:t>
      </w:r>
      <w:r w:rsidRPr="0064331F">
        <w:rPr>
          <w:rFonts w:cs="Arial"/>
          <w:sz w:val="22"/>
        </w:rPr>
        <w:t xml:space="preserve">by the IPART commencing 2014/15 and currently scheduled to end </w:t>
      </w:r>
      <w:r w:rsidRPr="00565A26">
        <w:rPr>
          <w:rFonts w:cs="Arial"/>
          <w:sz w:val="22"/>
        </w:rPr>
        <w:t>before the 2024/25 financial year.</w:t>
      </w:r>
      <w:r w:rsidR="009F27F6" w:rsidRPr="00565A26">
        <w:rPr>
          <w:rFonts w:cs="Arial"/>
          <w:sz w:val="22"/>
        </w:rPr>
        <w:t xml:space="preserve"> If IPART doesn’t approve this current proposal to vary the SRV, then </w:t>
      </w:r>
      <w:r w:rsidR="00055E82" w:rsidRPr="00565A26">
        <w:rPr>
          <w:rFonts w:cs="Arial"/>
          <w:sz w:val="22"/>
        </w:rPr>
        <w:t>rates would otherwise decrease a little in 2024/25 in response to the expiration of the existing SRV instrument</w:t>
      </w:r>
      <w:r w:rsidR="000E3BAA" w:rsidRPr="00565A26">
        <w:rPr>
          <w:rStyle w:val="FootnoteReference"/>
          <w:rFonts w:cs="Arial"/>
          <w:sz w:val="22"/>
        </w:rPr>
        <w:footnoteReference w:id="2"/>
      </w:r>
      <w:r w:rsidR="00055E82" w:rsidRPr="00565A26">
        <w:rPr>
          <w:rFonts w:cs="Arial"/>
          <w:sz w:val="22"/>
        </w:rPr>
        <w:t>.</w:t>
      </w:r>
      <w:r w:rsidR="000E3BAA" w:rsidRPr="00565A26">
        <w:rPr>
          <w:rFonts w:cs="Arial"/>
          <w:sz w:val="22"/>
        </w:rPr>
        <w:t xml:space="preserve"> </w:t>
      </w:r>
    </w:p>
    <w:p w14:paraId="3D403685" w14:textId="6092B078" w:rsidR="00DE4477" w:rsidRDefault="00DE4477">
      <w:pPr>
        <w:rPr>
          <w:rFonts w:cs="Arial"/>
          <w:sz w:val="22"/>
        </w:rPr>
      </w:pPr>
      <w:r w:rsidRPr="0064331F">
        <w:rPr>
          <w:rFonts w:cs="Arial"/>
          <w:sz w:val="22"/>
        </w:rPr>
        <w:t>Prior to determining the size of the SRV requested of IPART</w:t>
      </w:r>
      <w:r w:rsidR="00052752" w:rsidRPr="0064331F">
        <w:rPr>
          <w:rFonts w:cs="Arial"/>
          <w:sz w:val="22"/>
        </w:rPr>
        <w:t>,</w:t>
      </w:r>
      <w:r w:rsidRPr="0064331F">
        <w:rPr>
          <w:rFonts w:cs="Arial"/>
          <w:sz w:val="22"/>
        </w:rPr>
        <w:t xml:space="preserve"> Cootamundra-Gundagai Regional Council </w:t>
      </w:r>
      <w:r w:rsidRPr="00565A26">
        <w:rPr>
          <w:rFonts w:cs="Arial"/>
          <w:sz w:val="22"/>
        </w:rPr>
        <w:t xml:space="preserve">considered other options, as outlined in the addendum to the Operational Plan. </w:t>
      </w:r>
      <w:r w:rsidR="00425CBD" w:rsidRPr="00565A26">
        <w:rPr>
          <w:rFonts w:cs="Arial"/>
          <w:sz w:val="22"/>
        </w:rPr>
        <w:t>For example, during preparation for the 2020/21 budget, Council did significant work to improve efficiency and is on target to realise savings in excess of $2 million. These savings will continue in the later years.</w:t>
      </w:r>
      <w:r w:rsidRPr="00565A26">
        <w:rPr>
          <w:rFonts w:cs="Arial"/>
          <w:sz w:val="22"/>
        </w:rPr>
        <w:t xml:space="preserve"> We also plan to </w:t>
      </w:r>
      <w:r w:rsidR="009F27F6" w:rsidRPr="00565A26">
        <w:rPr>
          <w:rFonts w:cs="Arial"/>
          <w:sz w:val="22"/>
        </w:rPr>
        <w:t>reduce capital expenditure on transport infrastructure in 2021/22 and reduce employee costs by a further $500,000</w:t>
      </w:r>
      <w:r w:rsidR="005322FA">
        <w:rPr>
          <w:rFonts w:cs="Arial"/>
          <w:sz w:val="22"/>
        </w:rPr>
        <w:t xml:space="preserve"> per year</w:t>
      </w:r>
      <w:r w:rsidR="009F27F6" w:rsidRPr="00565A26">
        <w:rPr>
          <w:rFonts w:cs="Arial"/>
          <w:sz w:val="22"/>
        </w:rPr>
        <w:t xml:space="preserve"> from 2022/23.</w:t>
      </w:r>
    </w:p>
    <w:p w14:paraId="1BB4CC90" w14:textId="01620246" w:rsidR="00FF3805" w:rsidRPr="0064331F" w:rsidRDefault="00FF3805">
      <w:pPr>
        <w:rPr>
          <w:rFonts w:cs="Arial"/>
          <w:sz w:val="22"/>
        </w:rPr>
      </w:pPr>
      <w:r w:rsidRPr="0064331F">
        <w:rPr>
          <w:rFonts w:cs="Arial"/>
          <w:sz w:val="22"/>
        </w:rPr>
        <w:t xml:space="preserve">In early 2020 Council </w:t>
      </w:r>
      <w:r w:rsidR="0064331F" w:rsidRPr="0064331F">
        <w:rPr>
          <w:rFonts w:cs="Arial"/>
          <w:sz w:val="22"/>
        </w:rPr>
        <w:t>had</w:t>
      </w:r>
      <w:r w:rsidRPr="0064331F">
        <w:rPr>
          <w:rFonts w:cs="Arial"/>
          <w:sz w:val="22"/>
        </w:rPr>
        <w:t xml:space="preserve"> Prof</w:t>
      </w:r>
      <w:r w:rsidR="0064331F" w:rsidRPr="0064331F">
        <w:rPr>
          <w:rFonts w:cs="Arial"/>
          <w:sz w:val="22"/>
        </w:rPr>
        <w:t>essor Drew</w:t>
      </w:r>
      <w:r w:rsidR="00D67031" w:rsidRPr="0064331F">
        <w:rPr>
          <w:rFonts w:cs="Arial"/>
          <w:sz w:val="22"/>
        </w:rPr>
        <w:t xml:space="preserve"> </w:t>
      </w:r>
      <w:r w:rsidRPr="0064331F">
        <w:rPr>
          <w:rFonts w:cs="Arial"/>
          <w:sz w:val="22"/>
        </w:rPr>
        <w:t>conduct a financial sustainability review of Cootamundra-Gundagai Regional Council. He concluded that without a substantial SRV</w:t>
      </w:r>
      <w:r w:rsidR="00052752" w:rsidRPr="0064331F">
        <w:rPr>
          <w:rFonts w:cs="Arial"/>
          <w:sz w:val="22"/>
        </w:rPr>
        <w:t xml:space="preserve"> </w:t>
      </w:r>
      <w:r w:rsidR="004341DC" w:rsidRPr="0064331F">
        <w:rPr>
          <w:rFonts w:cs="Arial"/>
          <w:sz w:val="22"/>
        </w:rPr>
        <w:t>Council solvency was at risk and that Council was</w:t>
      </w:r>
      <w:r w:rsidRPr="0064331F">
        <w:rPr>
          <w:rFonts w:cs="Arial"/>
          <w:sz w:val="22"/>
        </w:rPr>
        <w:t xml:space="preserve"> likely </w:t>
      </w:r>
      <w:r w:rsidR="004341DC" w:rsidRPr="0064331F">
        <w:rPr>
          <w:rFonts w:cs="Arial"/>
          <w:sz w:val="22"/>
        </w:rPr>
        <w:t xml:space="preserve">to </w:t>
      </w:r>
      <w:r w:rsidRPr="0064331F">
        <w:rPr>
          <w:rFonts w:cs="Arial"/>
          <w:sz w:val="22"/>
        </w:rPr>
        <w:t>be placed into financial administration</w:t>
      </w:r>
      <w:r w:rsidR="002F400E" w:rsidRPr="0064331F">
        <w:rPr>
          <w:rFonts w:cs="Arial"/>
          <w:sz w:val="22"/>
        </w:rPr>
        <w:t xml:space="preserve"> (</w:t>
      </w:r>
      <w:proofErr w:type="spellStart"/>
      <w:r w:rsidR="004341DC" w:rsidRPr="0064331F">
        <w:rPr>
          <w:rFonts w:cs="Arial"/>
          <w:sz w:val="22"/>
        </w:rPr>
        <w:t>Deloittes</w:t>
      </w:r>
      <w:proofErr w:type="spellEnd"/>
      <w:r w:rsidR="00052752" w:rsidRPr="0064331F">
        <w:rPr>
          <w:rFonts w:cs="Arial"/>
          <w:sz w:val="22"/>
        </w:rPr>
        <w:t>, in their work for the Boundaries Commission,</w:t>
      </w:r>
      <w:r w:rsidR="004341DC" w:rsidRPr="0064331F">
        <w:rPr>
          <w:rFonts w:cs="Arial"/>
          <w:sz w:val="22"/>
        </w:rPr>
        <w:t xml:space="preserve"> also confirmed that Council</w:t>
      </w:r>
      <w:r w:rsidR="00052752" w:rsidRPr="0064331F">
        <w:rPr>
          <w:rFonts w:cs="Arial"/>
          <w:sz w:val="22"/>
        </w:rPr>
        <w:t>’</w:t>
      </w:r>
      <w:r w:rsidR="004341DC" w:rsidRPr="0064331F">
        <w:rPr>
          <w:rFonts w:cs="Arial"/>
          <w:sz w:val="22"/>
        </w:rPr>
        <w:t>s financial position was grave</w:t>
      </w:r>
      <w:r w:rsidR="00F357C7" w:rsidRPr="0064331F">
        <w:rPr>
          <w:rFonts w:cs="Arial"/>
          <w:sz w:val="22"/>
        </w:rPr>
        <w:t xml:space="preserve">). </w:t>
      </w:r>
      <w:r w:rsidRPr="0064331F">
        <w:rPr>
          <w:rFonts w:cs="Arial"/>
          <w:sz w:val="22"/>
        </w:rPr>
        <w:t>This would mean</w:t>
      </w:r>
      <w:r w:rsidR="009263A3" w:rsidRPr="0064331F">
        <w:rPr>
          <w:rFonts w:cs="Arial"/>
          <w:sz w:val="22"/>
        </w:rPr>
        <w:t xml:space="preserve"> that </w:t>
      </w:r>
      <w:r w:rsidR="00052752" w:rsidRPr="0064331F">
        <w:rPr>
          <w:rFonts w:cs="Arial"/>
          <w:sz w:val="22"/>
        </w:rPr>
        <w:t xml:space="preserve">the </w:t>
      </w:r>
      <w:r w:rsidR="009263A3" w:rsidRPr="0064331F">
        <w:rPr>
          <w:rFonts w:cs="Arial"/>
          <w:sz w:val="22"/>
        </w:rPr>
        <w:t xml:space="preserve">current </w:t>
      </w:r>
      <w:r w:rsidR="009263A3">
        <w:rPr>
          <w:rFonts w:cs="Arial"/>
          <w:sz w:val="22"/>
        </w:rPr>
        <w:t>serving</w:t>
      </w:r>
      <w:r w:rsidR="00052752">
        <w:rPr>
          <w:rFonts w:cs="Arial"/>
          <w:sz w:val="22"/>
        </w:rPr>
        <w:t>,</w:t>
      </w:r>
      <w:r w:rsidR="009263A3">
        <w:rPr>
          <w:rFonts w:cs="Arial"/>
          <w:sz w:val="22"/>
        </w:rPr>
        <w:t xml:space="preserve"> democratically elected</w:t>
      </w:r>
      <w:r w:rsidR="00052752">
        <w:rPr>
          <w:rFonts w:cs="Arial"/>
          <w:sz w:val="22"/>
        </w:rPr>
        <w:t>,</w:t>
      </w:r>
      <w:r w:rsidR="009263A3">
        <w:rPr>
          <w:rFonts w:cs="Arial"/>
          <w:sz w:val="22"/>
        </w:rPr>
        <w:t xml:space="preserve"> Councillors</w:t>
      </w:r>
      <w:r w:rsidRPr="00CE75E0">
        <w:rPr>
          <w:rFonts w:cs="Arial"/>
          <w:sz w:val="22"/>
        </w:rPr>
        <w:t xml:space="preserve"> would be dismissed and the affairs of the Cou</w:t>
      </w:r>
      <w:r w:rsidR="00425CBD" w:rsidRPr="00CE75E0">
        <w:rPr>
          <w:rFonts w:cs="Arial"/>
          <w:sz w:val="22"/>
        </w:rPr>
        <w:t xml:space="preserve">ncil would be </w:t>
      </w:r>
      <w:r w:rsidR="00425CBD" w:rsidRPr="0064331F">
        <w:rPr>
          <w:rFonts w:cs="Arial"/>
          <w:sz w:val="22"/>
        </w:rPr>
        <w:t xml:space="preserve">determined by an </w:t>
      </w:r>
      <w:r w:rsidRPr="0064331F">
        <w:rPr>
          <w:rFonts w:cs="Arial"/>
          <w:sz w:val="22"/>
        </w:rPr>
        <w:t>Administrator</w:t>
      </w:r>
      <w:r w:rsidR="00052752" w:rsidRPr="0064331F">
        <w:rPr>
          <w:rFonts w:cs="Arial"/>
          <w:sz w:val="22"/>
        </w:rPr>
        <w:t>. The Administrator</w:t>
      </w:r>
      <w:r w:rsidR="00F37AFF" w:rsidRPr="0064331F">
        <w:rPr>
          <w:rFonts w:cs="Arial"/>
          <w:sz w:val="22"/>
        </w:rPr>
        <w:t xml:space="preserve"> </w:t>
      </w:r>
      <w:r w:rsidR="00052752" w:rsidRPr="0064331F">
        <w:rPr>
          <w:rFonts w:cs="Arial"/>
          <w:sz w:val="22"/>
        </w:rPr>
        <w:t xml:space="preserve">would be </w:t>
      </w:r>
      <w:r w:rsidR="00F37AFF" w:rsidRPr="0064331F">
        <w:rPr>
          <w:rFonts w:cs="Arial"/>
          <w:sz w:val="22"/>
        </w:rPr>
        <w:t>appointed by the State government</w:t>
      </w:r>
      <w:r w:rsidR="00B11273">
        <w:rPr>
          <w:rFonts w:cs="Arial"/>
          <w:sz w:val="22"/>
        </w:rPr>
        <w:t>. Moreover, a</w:t>
      </w:r>
      <w:r w:rsidRPr="0064331F">
        <w:rPr>
          <w:rFonts w:cs="Arial"/>
          <w:sz w:val="22"/>
        </w:rPr>
        <w:t>n Administrator would still have to balance the budget</w:t>
      </w:r>
      <w:r w:rsidR="00052752" w:rsidRPr="0064331F">
        <w:rPr>
          <w:rFonts w:cs="Arial"/>
          <w:sz w:val="22"/>
        </w:rPr>
        <w:t>.</w:t>
      </w:r>
      <w:r w:rsidRPr="0064331F">
        <w:rPr>
          <w:rFonts w:cs="Arial"/>
          <w:sz w:val="22"/>
        </w:rPr>
        <w:t xml:space="preserve"> </w:t>
      </w:r>
      <w:r w:rsidR="00052752" w:rsidRPr="0064331F">
        <w:rPr>
          <w:rFonts w:cs="Arial"/>
          <w:sz w:val="22"/>
        </w:rPr>
        <w:t>T</w:t>
      </w:r>
      <w:r w:rsidRPr="0064331F">
        <w:rPr>
          <w:rFonts w:cs="Arial"/>
          <w:sz w:val="22"/>
        </w:rPr>
        <w:t>his would likely result in significant cost cutting</w:t>
      </w:r>
      <w:r w:rsidR="00052752" w:rsidRPr="0064331F">
        <w:rPr>
          <w:rFonts w:cs="Arial"/>
          <w:sz w:val="22"/>
        </w:rPr>
        <w:t>,</w:t>
      </w:r>
      <w:r w:rsidRPr="0064331F">
        <w:rPr>
          <w:rFonts w:cs="Arial"/>
          <w:sz w:val="22"/>
        </w:rPr>
        <w:t xml:space="preserve"> as well as new revenue raising measures</w:t>
      </w:r>
      <w:r w:rsidR="00D67031" w:rsidRPr="0064331F">
        <w:rPr>
          <w:rFonts w:cs="Arial"/>
          <w:sz w:val="22"/>
        </w:rPr>
        <w:t>,</w:t>
      </w:r>
      <w:r w:rsidR="00F37AFF" w:rsidRPr="0064331F">
        <w:rPr>
          <w:rFonts w:cs="Arial"/>
          <w:sz w:val="22"/>
        </w:rPr>
        <w:t xml:space="preserve"> such as a</w:t>
      </w:r>
      <w:r w:rsidR="00052752" w:rsidRPr="0064331F">
        <w:rPr>
          <w:rFonts w:cs="Arial"/>
          <w:sz w:val="22"/>
        </w:rPr>
        <w:t>n</w:t>
      </w:r>
      <w:r w:rsidR="00F37AFF" w:rsidRPr="0064331F">
        <w:rPr>
          <w:rFonts w:cs="Arial"/>
          <w:sz w:val="22"/>
        </w:rPr>
        <w:t xml:space="preserve"> SRV</w:t>
      </w:r>
      <w:r w:rsidRPr="0064331F">
        <w:rPr>
          <w:rFonts w:cs="Arial"/>
          <w:sz w:val="22"/>
        </w:rPr>
        <w:t xml:space="preserve">. </w:t>
      </w:r>
    </w:p>
    <w:p w14:paraId="0218606C" w14:textId="3EFCFDF7" w:rsidR="002E4869" w:rsidRPr="0064331F" w:rsidRDefault="002E4869">
      <w:pPr>
        <w:rPr>
          <w:rFonts w:cs="Arial"/>
          <w:sz w:val="22"/>
        </w:rPr>
      </w:pPr>
      <w:r w:rsidRPr="0064331F">
        <w:rPr>
          <w:rFonts w:cs="Arial"/>
          <w:sz w:val="22"/>
        </w:rPr>
        <w:t>The need for a</w:t>
      </w:r>
      <w:r w:rsidR="00052752" w:rsidRPr="0064331F">
        <w:rPr>
          <w:rFonts w:cs="Arial"/>
          <w:sz w:val="22"/>
        </w:rPr>
        <w:t>n</w:t>
      </w:r>
      <w:r w:rsidRPr="0064331F">
        <w:rPr>
          <w:rFonts w:cs="Arial"/>
          <w:sz w:val="22"/>
        </w:rPr>
        <w:t xml:space="preserve"> SRV responds to a structural imbalance in the operating budget that has emerged since </w:t>
      </w:r>
      <w:r w:rsidR="00052752" w:rsidRPr="0064331F">
        <w:rPr>
          <w:rFonts w:cs="Arial"/>
          <w:sz w:val="22"/>
        </w:rPr>
        <w:t xml:space="preserve">the 2016 </w:t>
      </w:r>
      <w:r w:rsidRPr="0064331F">
        <w:rPr>
          <w:rFonts w:cs="Arial"/>
          <w:sz w:val="22"/>
        </w:rPr>
        <w:t>amalgamation</w:t>
      </w:r>
      <w:r w:rsidR="00870685" w:rsidRPr="0064331F">
        <w:rPr>
          <w:rFonts w:cs="Arial"/>
          <w:sz w:val="22"/>
        </w:rPr>
        <w:t>. Quite simply</w:t>
      </w:r>
      <w:r w:rsidR="00052752" w:rsidRPr="0064331F">
        <w:rPr>
          <w:rFonts w:cs="Arial"/>
          <w:sz w:val="22"/>
        </w:rPr>
        <w:t>,</w:t>
      </w:r>
      <w:r w:rsidR="00870685" w:rsidRPr="0064331F">
        <w:rPr>
          <w:rFonts w:cs="Arial"/>
          <w:sz w:val="22"/>
        </w:rPr>
        <w:t xml:space="preserve"> Council’s required expenditure for staff, materials, and contracts exceeds its revenue</w:t>
      </w:r>
      <w:r w:rsidR="002F400E" w:rsidRPr="0064331F">
        <w:rPr>
          <w:rFonts w:cs="Arial"/>
          <w:sz w:val="22"/>
        </w:rPr>
        <w:t xml:space="preserve"> (see Table 5 below)</w:t>
      </w:r>
      <w:r w:rsidR="00870685" w:rsidRPr="0064331F">
        <w:rPr>
          <w:rFonts w:cs="Arial"/>
          <w:sz w:val="22"/>
        </w:rPr>
        <w:t>. Indeed, in their work for the</w:t>
      </w:r>
      <w:r w:rsidR="00AB12E7" w:rsidRPr="0064331F">
        <w:rPr>
          <w:rFonts w:cs="Arial"/>
          <w:sz w:val="22"/>
        </w:rPr>
        <w:t xml:space="preserve"> Boundaries Commission</w:t>
      </w:r>
      <w:r w:rsidR="009E7DCC" w:rsidRPr="0064331F">
        <w:rPr>
          <w:rFonts w:cs="Arial"/>
          <w:sz w:val="22"/>
        </w:rPr>
        <w:t>,</w:t>
      </w:r>
      <w:r w:rsidR="00AB12E7" w:rsidRPr="0064331F">
        <w:rPr>
          <w:rFonts w:cs="Arial"/>
          <w:sz w:val="22"/>
        </w:rPr>
        <w:t xml:space="preserve"> </w:t>
      </w:r>
      <w:proofErr w:type="spellStart"/>
      <w:r w:rsidR="00AB12E7" w:rsidRPr="0064331F">
        <w:rPr>
          <w:rFonts w:cs="Arial"/>
          <w:sz w:val="22"/>
        </w:rPr>
        <w:t>Deloitte</w:t>
      </w:r>
      <w:r w:rsidR="00870685" w:rsidRPr="0064331F">
        <w:rPr>
          <w:rFonts w:cs="Arial"/>
          <w:sz w:val="22"/>
        </w:rPr>
        <w:t>s</w:t>
      </w:r>
      <w:proofErr w:type="spellEnd"/>
      <w:r w:rsidR="00870685" w:rsidRPr="0064331F">
        <w:rPr>
          <w:rFonts w:cs="Arial"/>
          <w:sz w:val="22"/>
        </w:rPr>
        <w:t xml:space="preserve"> (2020, p. 4) claimed that ‘CGRC’s cost base has grown to be approximately 22% higher than the aggregate cost base of the former Gundagai and Cootamundra Councils (adjusting for inflation impacts)’. </w:t>
      </w:r>
      <w:r w:rsidR="00087ACD" w:rsidRPr="0064331F">
        <w:rPr>
          <w:rFonts w:cs="Arial"/>
          <w:sz w:val="22"/>
        </w:rPr>
        <w:t xml:space="preserve">Council has made considerable cost </w:t>
      </w:r>
      <w:r w:rsidR="004E0627" w:rsidRPr="0064331F">
        <w:rPr>
          <w:rFonts w:cs="Arial"/>
          <w:sz w:val="22"/>
        </w:rPr>
        <w:t>savings</w:t>
      </w:r>
      <w:r w:rsidR="00087ACD" w:rsidRPr="0064331F">
        <w:rPr>
          <w:rFonts w:cs="Arial"/>
          <w:sz w:val="22"/>
        </w:rPr>
        <w:t xml:space="preserve"> </w:t>
      </w:r>
      <w:r w:rsidR="00AB77EA" w:rsidRPr="0064331F">
        <w:rPr>
          <w:rFonts w:cs="Arial"/>
          <w:sz w:val="22"/>
        </w:rPr>
        <w:t>recently</w:t>
      </w:r>
      <w:r w:rsidR="00087ACD" w:rsidRPr="0064331F">
        <w:rPr>
          <w:rFonts w:cs="Arial"/>
          <w:sz w:val="22"/>
        </w:rPr>
        <w:t xml:space="preserve"> and plans to do more in the future</w:t>
      </w:r>
      <w:r w:rsidR="009E7DCC" w:rsidRPr="0064331F">
        <w:rPr>
          <w:rFonts w:cs="Arial"/>
          <w:sz w:val="22"/>
        </w:rPr>
        <w:t>.</w:t>
      </w:r>
      <w:r w:rsidR="00087ACD" w:rsidRPr="0064331F">
        <w:rPr>
          <w:rFonts w:cs="Arial"/>
          <w:sz w:val="22"/>
        </w:rPr>
        <w:t xml:space="preserve"> </w:t>
      </w:r>
      <w:r w:rsidR="009E7DCC" w:rsidRPr="0064331F">
        <w:rPr>
          <w:rFonts w:cs="Arial"/>
          <w:sz w:val="22"/>
        </w:rPr>
        <w:t>H</w:t>
      </w:r>
      <w:r w:rsidR="00087ACD" w:rsidRPr="0064331F">
        <w:rPr>
          <w:rFonts w:cs="Arial"/>
          <w:sz w:val="22"/>
        </w:rPr>
        <w:t>owever</w:t>
      </w:r>
      <w:r w:rsidR="00D67031" w:rsidRPr="0064331F">
        <w:rPr>
          <w:rFonts w:cs="Arial"/>
          <w:sz w:val="22"/>
        </w:rPr>
        <w:t>,</w:t>
      </w:r>
      <w:r w:rsidR="00087ACD" w:rsidRPr="0064331F">
        <w:rPr>
          <w:rFonts w:cs="Arial"/>
          <w:sz w:val="22"/>
        </w:rPr>
        <w:t xml:space="preserve"> the consensus</w:t>
      </w:r>
      <w:r w:rsidR="004E0627" w:rsidRPr="0064331F">
        <w:rPr>
          <w:rFonts w:cs="Arial"/>
          <w:sz w:val="22"/>
        </w:rPr>
        <w:t xml:space="preserve"> of both</w:t>
      </w:r>
      <w:r w:rsidR="00087ACD" w:rsidRPr="0064331F">
        <w:rPr>
          <w:rFonts w:cs="Arial"/>
          <w:sz w:val="22"/>
        </w:rPr>
        <w:t xml:space="preserve"> external reviews is that a</w:t>
      </w:r>
      <w:r w:rsidR="009E7DCC" w:rsidRPr="0064331F">
        <w:rPr>
          <w:rFonts w:cs="Arial"/>
          <w:sz w:val="22"/>
        </w:rPr>
        <w:t>n</w:t>
      </w:r>
      <w:r w:rsidR="00087ACD" w:rsidRPr="0064331F">
        <w:rPr>
          <w:rFonts w:cs="Arial"/>
          <w:sz w:val="22"/>
        </w:rPr>
        <w:t xml:space="preserve"> SRV is absolutely essential. </w:t>
      </w:r>
    </w:p>
    <w:p w14:paraId="5957397D" w14:textId="1ED7B750" w:rsidR="00D31F51" w:rsidRPr="0064331F" w:rsidRDefault="00D31F51" w:rsidP="00D31F51">
      <w:pPr>
        <w:rPr>
          <w:rFonts w:cs="Arial"/>
          <w:sz w:val="22"/>
        </w:rPr>
      </w:pPr>
      <w:r w:rsidRPr="00CE75E0">
        <w:rPr>
          <w:rFonts w:cs="Arial"/>
          <w:sz w:val="22"/>
        </w:rPr>
        <w:t xml:space="preserve">If we don’t get the SRV approved then to ensure solvency we would either have to cut employee costs by </w:t>
      </w:r>
      <w:r w:rsidR="008F7DF0" w:rsidRPr="00CE75E0">
        <w:rPr>
          <w:rFonts w:cs="Arial"/>
          <w:sz w:val="22"/>
        </w:rPr>
        <w:t>25</w:t>
      </w:r>
      <w:r w:rsidRPr="00CE75E0">
        <w:rPr>
          <w:rFonts w:cs="Arial"/>
          <w:sz w:val="22"/>
        </w:rPr>
        <w:t>%,</w:t>
      </w:r>
      <w:r w:rsidR="008F7DF0" w:rsidRPr="00CE75E0">
        <w:rPr>
          <w:rFonts w:cs="Arial"/>
          <w:sz w:val="22"/>
        </w:rPr>
        <w:t xml:space="preserve"> </w:t>
      </w:r>
      <w:r w:rsidRPr="00CE75E0">
        <w:rPr>
          <w:rFonts w:cs="Arial"/>
          <w:sz w:val="22"/>
        </w:rPr>
        <w:t xml:space="preserve">capital expenditure by </w:t>
      </w:r>
      <w:r w:rsidR="008F7DF0" w:rsidRPr="00CE75E0">
        <w:rPr>
          <w:rFonts w:cs="Arial"/>
          <w:sz w:val="22"/>
        </w:rPr>
        <w:t>30</w:t>
      </w:r>
      <w:r w:rsidRPr="00CE75E0">
        <w:rPr>
          <w:rFonts w:cs="Arial"/>
          <w:sz w:val="22"/>
        </w:rPr>
        <w:t>%, or a combination of the t</w:t>
      </w:r>
      <w:r w:rsidR="008F7DF0" w:rsidRPr="00CE75E0">
        <w:rPr>
          <w:rFonts w:cs="Arial"/>
          <w:sz w:val="22"/>
        </w:rPr>
        <w:t>wo</w:t>
      </w:r>
      <w:r w:rsidRPr="00CE75E0">
        <w:rPr>
          <w:rFonts w:cs="Arial"/>
          <w:sz w:val="22"/>
        </w:rPr>
        <w:t>. We believe that the community would not</w:t>
      </w:r>
      <w:r w:rsidRPr="00D31F51">
        <w:rPr>
          <w:rFonts w:cs="Arial"/>
          <w:sz w:val="22"/>
        </w:rPr>
        <w:t xml:space="preserve"> </w:t>
      </w:r>
      <w:r w:rsidRPr="0064331F">
        <w:rPr>
          <w:rFonts w:cs="Arial"/>
          <w:sz w:val="22"/>
        </w:rPr>
        <w:lastRenderedPageBreak/>
        <w:t xml:space="preserve">find the </w:t>
      </w:r>
      <w:r w:rsidR="009E7DCC" w:rsidRPr="0064331F">
        <w:rPr>
          <w:rFonts w:cs="Arial"/>
          <w:sz w:val="22"/>
        </w:rPr>
        <w:t xml:space="preserve">resulting </w:t>
      </w:r>
      <w:r w:rsidRPr="0064331F">
        <w:rPr>
          <w:rFonts w:cs="Arial"/>
          <w:sz w:val="22"/>
        </w:rPr>
        <w:t xml:space="preserve">significant decline in infrastructure and </w:t>
      </w:r>
      <w:r w:rsidR="0071684F" w:rsidRPr="0064331F">
        <w:rPr>
          <w:rFonts w:cs="Arial"/>
          <w:sz w:val="22"/>
        </w:rPr>
        <w:t>services, which</w:t>
      </w:r>
      <w:r w:rsidR="004341DC" w:rsidRPr="0064331F">
        <w:rPr>
          <w:rFonts w:cs="Arial"/>
          <w:sz w:val="22"/>
        </w:rPr>
        <w:t xml:space="preserve"> would occur</w:t>
      </w:r>
      <w:r w:rsidR="0064331F" w:rsidRPr="0064331F">
        <w:rPr>
          <w:rFonts w:cs="Arial"/>
          <w:sz w:val="22"/>
        </w:rPr>
        <w:t xml:space="preserve"> under </w:t>
      </w:r>
      <w:r w:rsidR="009E7DCC" w:rsidRPr="0064331F">
        <w:rPr>
          <w:rFonts w:cs="Arial"/>
          <w:sz w:val="22"/>
        </w:rPr>
        <w:t>these scenarios,</w:t>
      </w:r>
      <w:r w:rsidR="004341DC" w:rsidRPr="0064331F">
        <w:rPr>
          <w:rFonts w:cs="Arial"/>
          <w:sz w:val="22"/>
        </w:rPr>
        <w:t xml:space="preserve"> </w:t>
      </w:r>
      <w:r w:rsidRPr="0064331F">
        <w:rPr>
          <w:rFonts w:cs="Arial"/>
          <w:sz w:val="22"/>
        </w:rPr>
        <w:t>acceptable.</w:t>
      </w:r>
    </w:p>
    <w:p w14:paraId="2AEE8270" w14:textId="1792D422" w:rsidR="009E7DCC" w:rsidRPr="0064331F" w:rsidRDefault="00087ACD">
      <w:pPr>
        <w:rPr>
          <w:rFonts w:cs="Arial"/>
          <w:sz w:val="22"/>
        </w:rPr>
      </w:pPr>
      <w:r w:rsidRPr="0064331F">
        <w:rPr>
          <w:rFonts w:cs="Arial"/>
          <w:sz w:val="22"/>
        </w:rPr>
        <w:t>Council</w:t>
      </w:r>
      <w:r w:rsidR="009D5B93" w:rsidRPr="0064331F">
        <w:rPr>
          <w:rFonts w:cs="Arial"/>
          <w:sz w:val="22"/>
        </w:rPr>
        <w:t xml:space="preserve"> is very conscious of the hardship that the </w:t>
      </w:r>
      <w:r w:rsidR="009E7DCC" w:rsidRPr="0064331F">
        <w:rPr>
          <w:rFonts w:cs="Arial"/>
          <w:sz w:val="22"/>
        </w:rPr>
        <w:t>S</w:t>
      </w:r>
      <w:r w:rsidR="009D5B93" w:rsidRPr="0064331F">
        <w:rPr>
          <w:rFonts w:cs="Arial"/>
          <w:sz w:val="22"/>
        </w:rPr>
        <w:t xml:space="preserve">pecial </w:t>
      </w:r>
      <w:r w:rsidR="009E7DCC" w:rsidRPr="0064331F">
        <w:rPr>
          <w:rFonts w:cs="Arial"/>
          <w:sz w:val="22"/>
        </w:rPr>
        <w:t>R</w:t>
      </w:r>
      <w:r w:rsidR="009D5B93" w:rsidRPr="0064331F">
        <w:rPr>
          <w:rFonts w:cs="Arial"/>
          <w:sz w:val="22"/>
        </w:rPr>
        <w:t xml:space="preserve">ate </w:t>
      </w:r>
      <w:r w:rsidR="009E7DCC" w:rsidRPr="0064331F">
        <w:rPr>
          <w:rFonts w:cs="Arial"/>
          <w:sz w:val="22"/>
        </w:rPr>
        <w:t>V</w:t>
      </w:r>
      <w:r w:rsidR="009D5B93" w:rsidRPr="0064331F">
        <w:rPr>
          <w:rFonts w:cs="Arial"/>
          <w:sz w:val="22"/>
        </w:rPr>
        <w:t>ariation</w:t>
      </w:r>
      <w:r w:rsidR="009E7DCC" w:rsidRPr="0064331F">
        <w:rPr>
          <w:rFonts w:cs="Arial"/>
          <w:sz w:val="22"/>
        </w:rPr>
        <w:t xml:space="preserve"> </w:t>
      </w:r>
      <w:r w:rsidR="006D2715">
        <w:rPr>
          <w:rFonts w:cs="Arial"/>
          <w:sz w:val="22"/>
        </w:rPr>
        <w:t>might</w:t>
      </w:r>
      <w:r w:rsidR="009D5B93" w:rsidRPr="0064331F">
        <w:rPr>
          <w:rFonts w:cs="Arial"/>
          <w:sz w:val="22"/>
        </w:rPr>
        <w:t xml:space="preserve"> cause </w:t>
      </w:r>
      <w:r w:rsidR="004E0627" w:rsidRPr="0064331F">
        <w:rPr>
          <w:rFonts w:cs="Arial"/>
          <w:sz w:val="22"/>
        </w:rPr>
        <w:t xml:space="preserve">and </w:t>
      </w:r>
      <w:r w:rsidR="00AB77EA" w:rsidRPr="0064331F">
        <w:rPr>
          <w:rFonts w:cs="Arial"/>
          <w:sz w:val="22"/>
        </w:rPr>
        <w:t xml:space="preserve">has recently reviewed its </w:t>
      </w:r>
      <w:r w:rsidR="009E7DCC" w:rsidRPr="0064331F">
        <w:rPr>
          <w:rFonts w:cs="Arial"/>
          <w:sz w:val="22"/>
        </w:rPr>
        <w:t>H</w:t>
      </w:r>
      <w:r w:rsidR="00AB77EA" w:rsidRPr="0064331F">
        <w:rPr>
          <w:rFonts w:cs="Arial"/>
          <w:sz w:val="22"/>
        </w:rPr>
        <w:t xml:space="preserve">ardship </w:t>
      </w:r>
      <w:r w:rsidR="009E7DCC" w:rsidRPr="0064331F">
        <w:rPr>
          <w:rFonts w:cs="Arial"/>
          <w:sz w:val="22"/>
        </w:rPr>
        <w:t>P</w:t>
      </w:r>
      <w:r w:rsidR="00AB77EA" w:rsidRPr="0064331F">
        <w:rPr>
          <w:rFonts w:cs="Arial"/>
          <w:sz w:val="22"/>
        </w:rPr>
        <w:t>olicy</w:t>
      </w:r>
      <w:r w:rsidR="009E7DCC" w:rsidRPr="0064331F">
        <w:rPr>
          <w:rFonts w:cs="Arial"/>
          <w:sz w:val="22"/>
        </w:rPr>
        <w:t>, on</w:t>
      </w:r>
      <w:r w:rsidR="00AB77EA" w:rsidRPr="0064331F">
        <w:rPr>
          <w:rFonts w:cs="Arial"/>
          <w:sz w:val="22"/>
        </w:rPr>
        <w:t xml:space="preserve"> which it invites the community to provide feedback. Th</w:t>
      </w:r>
      <w:r w:rsidR="009E7DCC" w:rsidRPr="0064331F">
        <w:rPr>
          <w:rFonts w:cs="Arial"/>
          <w:sz w:val="22"/>
        </w:rPr>
        <w:t>e</w:t>
      </w:r>
      <w:r w:rsidR="00AB77EA" w:rsidRPr="0064331F">
        <w:rPr>
          <w:rFonts w:cs="Arial"/>
          <w:sz w:val="22"/>
        </w:rPr>
        <w:t xml:space="preserve"> </w:t>
      </w:r>
      <w:r w:rsidR="009E7DCC" w:rsidRPr="0064331F">
        <w:rPr>
          <w:rFonts w:cs="Arial"/>
          <w:sz w:val="22"/>
        </w:rPr>
        <w:t>H</w:t>
      </w:r>
      <w:r w:rsidR="00AB77EA" w:rsidRPr="0064331F">
        <w:rPr>
          <w:rFonts w:cs="Arial"/>
          <w:sz w:val="22"/>
        </w:rPr>
        <w:t xml:space="preserve">ardship </w:t>
      </w:r>
      <w:r w:rsidR="009E7DCC" w:rsidRPr="0064331F">
        <w:rPr>
          <w:rFonts w:cs="Arial"/>
          <w:sz w:val="22"/>
        </w:rPr>
        <w:t>P</w:t>
      </w:r>
      <w:r w:rsidR="00AB77EA" w:rsidRPr="0064331F">
        <w:rPr>
          <w:rFonts w:cs="Arial"/>
          <w:sz w:val="22"/>
        </w:rPr>
        <w:t xml:space="preserve">olicy is </w:t>
      </w:r>
      <w:r w:rsidR="00AB77EA">
        <w:rPr>
          <w:rFonts w:cs="Arial"/>
          <w:sz w:val="22"/>
        </w:rPr>
        <w:t>available</w:t>
      </w:r>
      <w:r w:rsidR="004E0627" w:rsidRPr="00565A26">
        <w:rPr>
          <w:rFonts w:cs="Arial"/>
          <w:sz w:val="22"/>
        </w:rPr>
        <w:t xml:space="preserve"> at </w:t>
      </w:r>
      <w:hyperlink r:id="rId9" w:history="1">
        <w:r w:rsidR="00FA3E17" w:rsidRPr="00FA3E17">
          <w:rPr>
            <w:rStyle w:val="Hyperlink"/>
            <w:rFonts w:cs="Arial"/>
            <w:sz w:val="22"/>
            <w:lang w:val="en-US"/>
          </w:rPr>
          <w:t>https://www.cgrc.nsw.gov.au/connect-with-us/have-your-say/documents-on-public-exhibition/</w:t>
        </w:r>
      </w:hyperlink>
      <w:r w:rsidR="005E0B8A">
        <w:rPr>
          <w:rFonts w:cs="Arial"/>
          <w:sz w:val="22"/>
          <w:lang w:val="en-US"/>
        </w:rPr>
        <w:t xml:space="preserve"> </w:t>
      </w:r>
      <w:r w:rsidR="004E0627" w:rsidRPr="005E0B8A">
        <w:rPr>
          <w:rFonts w:cs="Arial"/>
          <w:sz w:val="22"/>
        </w:rPr>
        <w:t>or</w:t>
      </w:r>
      <w:r w:rsidR="004E0627" w:rsidRPr="00565A26">
        <w:rPr>
          <w:rFonts w:cs="Arial"/>
          <w:sz w:val="22"/>
        </w:rPr>
        <w:t xml:space="preserve"> </w:t>
      </w:r>
      <w:r w:rsidR="00D67031" w:rsidRPr="0064331F">
        <w:rPr>
          <w:rFonts w:cs="Arial"/>
          <w:sz w:val="22"/>
        </w:rPr>
        <w:t xml:space="preserve">at </w:t>
      </w:r>
      <w:r w:rsidR="009E7DCC" w:rsidRPr="0064331F">
        <w:rPr>
          <w:rFonts w:cs="Arial"/>
          <w:sz w:val="22"/>
        </w:rPr>
        <w:t>either</w:t>
      </w:r>
      <w:r w:rsidR="004E0627" w:rsidRPr="0064331F">
        <w:rPr>
          <w:rFonts w:cs="Arial"/>
          <w:sz w:val="22"/>
        </w:rPr>
        <w:t xml:space="preserve"> Council office. </w:t>
      </w:r>
      <w:r w:rsidR="009E7DCC" w:rsidRPr="0064331F">
        <w:rPr>
          <w:rFonts w:cs="Arial"/>
          <w:sz w:val="22"/>
        </w:rPr>
        <w:t>W</w:t>
      </w:r>
      <w:r w:rsidR="004E0627" w:rsidRPr="0064331F">
        <w:rPr>
          <w:rFonts w:cs="Arial"/>
          <w:sz w:val="22"/>
        </w:rPr>
        <w:t>e</w:t>
      </w:r>
      <w:r w:rsidR="00F357C7" w:rsidRPr="0064331F">
        <w:rPr>
          <w:rFonts w:cs="Arial"/>
          <w:sz w:val="22"/>
        </w:rPr>
        <w:t xml:space="preserve"> want to hear from the community and </w:t>
      </w:r>
      <w:r w:rsidR="009E7DCC" w:rsidRPr="0064331F">
        <w:rPr>
          <w:rFonts w:cs="Arial"/>
          <w:sz w:val="22"/>
        </w:rPr>
        <w:t xml:space="preserve">will </w:t>
      </w:r>
      <w:r w:rsidR="00F357C7" w:rsidRPr="0064331F">
        <w:rPr>
          <w:rFonts w:cs="Arial"/>
          <w:sz w:val="22"/>
        </w:rPr>
        <w:t xml:space="preserve">incorporate </w:t>
      </w:r>
      <w:r w:rsidR="009E7DCC" w:rsidRPr="0064331F">
        <w:rPr>
          <w:rFonts w:cs="Arial"/>
          <w:sz w:val="22"/>
        </w:rPr>
        <w:t>your f</w:t>
      </w:r>
      <w:r w:rsidR="00F357C7" w:rsidRPr="0064331F">
        <w:rPr>
          <w:rFonts w:cs="Arial"/>
          <w:sz w:val="22"/>
        </w:rPr>
        <w:t>eedback</w:t>
      </w:r>
      <w:r w:rsidR="009E7DCC" w:rsidRPr="0064331F">
        <w:rPr>
          <w:rFonts w:cs="Arial"/>
          <w:sz w:val="22"/>
        </w:rPr>
        <w:t>.</w:t>
      </w:r>
    </w:p>
    <w:p w14:paraId="7C37B3DF" w14:textId="5A236079" w:rsidR="00F357C7" w:rsidRPr="0064331F" w:rsidRDefault="009E7DCC">
      <w:pPr>
        <w:rPr>
          <w:rFonts w:cs="Arial"/>
          <w:sz w:val="22"/>
          <w:lang w:val="en-US"/>
        </w:rPr>
      </w:pPr>
      <w:r w:rsidRPr="0064331F">
        <w:rPr>
          <w:rFonts w:cs="Arial"/>
          <w:sz w:val="22"/>
        </w:rPr>
        <w:t>Accordingly</w:t>
      </w:r>
      <w:r w:rsidR="00F357C7" w:rsidRPr="0064331F">
        <w:rPr>
          <w:rFonts w:cs="Arial"/>
          <w:sz w:val="22"/>
        </w:rPr>
        <w:t xml:space="preserve"> we have arranged for a number of different </w:t>
      </w:r>
      <w:r w:rsidR="004E3652" w:rsidRPr="0064331F">
        <w:rPr>
          <w:rFonts w:cs="Arial"/>
          <w:sz w:val="22"/>
        </w:rPr>
        <w:t xml:space="preserve">kinds of </w:t>
      </w:r>
      <w:r w:rsidR="00F357C7" w:rsidRPr="0064331F">
        <w:rPr>
          <w:rFonts w:cs="Arial"/>
          <w:sz w:val="22"/>
        </w:rPr>
        <w:t>community engagement events</w:t>
      </w:r>
      <w:r w:rsidR="004E3652" w:rsidRPr="0064331F">
        <w:rPr>
          <w:rFonts w:cs="Arial"/>
          <w:sz w:val="22"/>
        </w:rPr>
        <w:t>:</w:t>
      </w:r>
      <w:r w:rsidR="00F357C7" w:rsidRPr="0064331F">
        <w:rPr>
          <w:rFonts w:cs="Arial"/>
          <w:sz w:val="22"/>
        </w:rPr>
        <w:t xml:space="preserve"> </w:t>
      </w:r>
    </w:p>
    <w:p w14:paraId="546D9195" w14:textId="04FF7154" w:rsidR="004E3652" w:rsidRPr="0064331F" w:rsidRDefault="004E3652" w:rsidP="004E3652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64331F">
        <w:rPr>
          <w:rFonts w:cs="Arial"/>
          <w:sz w:val="22"/>
        </w:rPr>
        <w:t>The community is requested to fill in the attached survey and ret</w:t>
      </w:r>
      <w:r w:rsidR="00DB460F">
        <w:rPr>
          <w:rFonts w:cs="Arial"/>
          <w:sz w:val="22"/>
        </w:rPr>
        <w:t>urn it to Council</w:t>
      </w:r>
      <w:r w:rsidR="001D7B97">
        <w:rPr>
          <w:rFonts w:cs="Arial"/>
          <w:sz w:val="22"/>
        </w:rPr>
        <w:t xml:space="preserve"> in person or by mail to PO Box 420 Cootamundra NSW 2590.</w:t>
      </w:r>
    </w:p>
    <w:p w14:paraId="10A94081" w14:textId="77777777" w:rsidR="004E3652" w:rsidRDefault="004E3652" w:rsidP="004E3652">
      <w:pPr>
        <w:pStyle w:val="ListParagraph"/>
        <w:rPr>
          <w:rFonts w:cs="Arial"/>
          <w:sz w:val="22"/>
        </w:rPr>
      </w:pPr>
    </w:p>
    <w:p w14:paraId="167C7E03" w14:textId="11B442C7" w:rsidR="00D67031" w:rsidRPr="0064331F" w:rsidRDefault="004E3652" w:rsidP="00D67031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64331F">
        <w:rPr>
          <w:rFonts w:cs="Arial"/>
          <w:sz w:val="22"/>
        </w:rPr>
        <w:t xml:space="preserve">Council will </w:t>
      </w:r>
      <w:r w:rsidR="00D67031" w:rsidRPr="0064331F">
        <w:rPr>
          <w:rFonts w:cs="Arial"/>
          <w:sz w:val="22"/>
        </w:rPr>
        <w:t xml:space="preserve">soon </w:t>
      </w:r>
      <w:r w:rsidRPr="0064331F">
        <w:rPr>
          <w:rFonts w:cs="Arial"/>
          <w:sz w:val="22"/>
        </w:rPr>
        <w:t>be posting short videos to its website</w:t>
      </w:r>
      <w:r w:rsidR="00D67031" w:rsidRPr="0064331F">
        <w:rPr>
          <w:rFonts w:cs="Arial"/>
          <w:sz w:val="22"/>
        </w:rPr>
        <w:t xml:space="preserve"> </w:t>
      </w:r>
      <w:r w:rsidRPr="0064331F">
        <w:rPr>
          <w:rFonts w:cs="Arial"/>
          <w:sz w:val="22"/>
        </w:rPr>
        <w:t xml:space="preserve">to </w:t>
      </w:r>
      <w:r w:rsidR="006D7624">
        <w:rPr>
          <w:rFonts w:cs="Arial"/>
          <w:sz w:val="22"/>
        </w:rPr>
        <w:t>further elaborate on this Fact Sheet.</w:t>
      </w:r>
    </w:p>
    <w:p w14:paraId="4BE0FA49" w14:textId="77777777" w:rsidR="00D67031" w:rsidRPr="00D67031" w:rsidRDefault="00D67031" w:rsidP="00D67031">
      <w:pPr>
        <w:pStyle w:val="ListParagraph"/>
        <w:rPr>
          <w:rFonts w:cs="Arial"/>
          <w:sz w:val="22"/>
        </w:rPr>
      </w:pPr>
    </w:p>
    <w:p w14:paraId="4BF548CB" w14:textId="77777777" w:rsidR="00D67031" w:rsidRPr="0064331F" w:rsidRDefault="00D67031" w:rsidP="00D67031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64331F">
        <w:rPr>
          <w:rFonts w:cs="Arial"/>
          <w:sz w:val="22"/>
        </w:rPr>
        <w:t>Council will conduct two citizen juries:</w:t>
      </w:r>
    </w:p>
    <w:p w14:paraId="1BF65E61" w14:textId="77777777" w:rsidR="00D67031" w:rsidRPr="0064331F" w:rsidRDefault="00D67031" w:rsidP="00D67031">
      <w:pPr>
        <w:pStyle w:val="ListParagraph"/>
        <w:rPr>
          <w:rFonts w:cs="Arial"/>
          <w:sz w:val="16"/>
          <w:szCs w:val="16"/>
        </w:rPr>
      </w:pPr>
    </w:p>
    <w:p w14:paraId="558F5F6B" w14:textId="30D82A14" w:rsidR="00D67031" w:rsidRPr="0064331F" w:rsidRDefault="00D67031" w:rsidP="00D67031">
      <w:pPr>
        <w:pStyle w:val="ListParagraph"/>
        <w:spacing w:before="240"/>
        <w:rPr>
          <w:rFonts w:cs="Arial"/>
          <w:sz w:val="22"/>
        </w:rPr>
      </w:pPr>
      <w:r w:rsidRPr="0064331F">
        <w:rPr>
          <w:rFonts w:cs="Arial"/>
          <w:sz w:val="22"/>
        </w:rPr>
        <w:t>Monday 18</w:t>
      </w:r>
      <w:r w:rsidRPr="0064331F">
        <w:rPr>
          <w:rFonts w:cs="Arial"/>
          <w:sz w:val="22"/>
          <w:vertAlign w:val="superscript"/>
        </w:rPr>
        <w:t>th</w:t>
      </w:r>
      <w:r w:rsidRPr="0064331F">
        <w:rPr>
          <w:rFonts w:cs="Arial"/>
          <w:sz w:val="22"/>
        </w:rPr>
        <w:t xml:space="preserve"> January, 2021 </w:t>
      </w:r>
      <w:r w:rsidR="00083EC4">
        <w:rPr>
          <w:rFonts w:cs="Arial"/>
          <w:sz w:val="22"/>
        </w:rPr>
        <w:t xml:space="preserve">Alby Schultz Meeting Centre, </w:t>
      </w:r>
      <w:r w:rsidRPr="0064331F">
        <w:rPr>
          <w:rFonts w:cs="Arial"/>
          <w:sz w:val="22"/>
        </w:rPr>
        <w:t>Cootamundra 10am till 2pm.</w:t>
      </w:r>
    </w:p>
    <w:p w14:paraId="784C5DD7" w14:textId="77777777" w:rsidR="00D67031" w:rsidRPr="0064331F" w:rsidRDefault="00D67031" w:rsidP="00D67031">
      <w:pPr>
        <w:pStyle w:val="ListParagraph"/>
        <w:rPr>
          <w:rFonts w:cs="Arial"/>
          <w:sz w:val="22"/>
        </w:rPr>
      </w:pPr>
      <w:r w:rsidRPr="0064331F">
        <w:rPr>
          <w:rFonts w:cs="Arial"/>
          <w:sz w:val="22"/>
        </w:rPr>
        <w:t>Tuesday 19</w:t>
      </w:r>
      <w:r w:rsidRPr="0064331F">
        <w:rPr>
          <w:rFonts w:cs="Arial"/>
          <w:sz w:val="22"/>
          <w:vertAlign w:val="superscript"/>
        </w:rPr>
        <w:t>th</w:t>
      </w:r>
      <w:r w:rsidRPr="0064331F">
        <w:rPr>
          <w:rFonts w:cs="Arial"/>
          <w:sz w:val="22"/>
        </w:rPr>
        <w:t xml:space="preserve"> January, 2021 Gundagai Council Meeting Room, 10am till 2pm.</w:t>
      </w:r>
    </w:p>
    <w:p w14:paraId="24B8F65F" w14:textId="5A75FBC7" w:rsidR="00D67031" w:rsidRPr="0064331F" w:rsidRDefault="00D67031" w:rsidP="00D67031">
      <w:pPr>
        <w:ind w:left="709"/>
        <w:rPr>
          <w:rFonts w:cs="Arial"/>
          <w:sz w:val="22"/>
        </w:rPr>
      </w:pPr>
      <w:r w:rsidRPr="0064331F">
        <w:rPr>
          <w:rFonts w:cs="Arial"/>
          <w:sz w:val="22"/>
        </w:rPr>
        <w:t xml:space="preserve">We seek expressions of interest from the community to participate in these juries. Please see the attached Expression of Interest </w:t>
      </w:r>
      <w:r w:rsidR="00C360FD">
        <w:rPr>
          <w:rFonts w:cs="Arial"/>
          <w:sz w:val="22"/>
        </w:rPr>
        <w:t>f</w:t>
      </w:r>
      <w:bookmarkStart w:id="0" w:name="_GoBack"/>
      <w:bookmarkEnd w:id="0"/>
      <w:r w:rsidRPr="0064331F">
        <w:rPr>
          <w:rFonts w:cs="Arial"/>
          <w:sz w:val="22"/>
        </w:rPr>
        <w:t xml:space="preserve">orm for details. </w:t>
      </w:r>
    </w:p>
    <w:p w14:paraId="0D42847A" w14:textId="77777777" w:rsidR="00D67031" w:rsidRPr="00D67031" w:rsidRDefault="00D67031" w:rsidP="00D67031">
      <w:pPr>
        <w:pStyle w:val="ListParagraph"/>
        <w:rPr>
          <w:rFonts w:cs="Arial"/>
          <w:sz w:val="22"/>
        </w:rPr>
      </w:pPr>
    </w:p>
    <w:p w14:paraId="11B0FC81" w14:textId="7B9822D0" w:rsidR="00FF3805" w:rsidRPr="00565A26" w:rsidRDefault="00425CBD" w:rsidP="00F357C7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64331F">
        <w:rPr>
          <w:rFonts w:cs="Arial"/>
          <w:sz w:val="22"/>
        </w:rPr>
        <w:t>Council will hold two public meetings to present the case for a</w:t>
      </w:r>
      <w:r w:rsidR="004E3652" w:rsidRPr="0064331F">
        <w:rPr>
          <w:rFonts w:cs="Arial"/>
          <w:sz w:val="22"/>
        </w:rPr>
        <w:t>n</w:t>
      </w:r>
      <w:r w:rsidRPr="0064331F">
        <w:rPr>
          <w:rFonts w:cs="Arial"/>
          <w:sz w:val="22"/>
        </w:rPr>
        <w:t xml:space="preserve"> SRV and receive community </w:t>
      </w:r>
      <w:r w:rsidRPr="00565A26">
        <w:rPr>
          <w:rFonts w:cs="Arial"/>
          <w:sz w:val="22"/>
        </w:rPr>
        <w:t>feedback:</w:t>
      </w:r>
    </w:p>
    <w:p w14:paraId="4DD38940" w14:textId="422EC5E2" w:rsidR="00FF3805" w:rsidRPr="0064331F" w:rsidRDefault="00FF3805" w:rsidP="00087ACD">
      <w:pPr>
        <w:ind w:firstLine="709"/>
        <w:rPr>
          <w:rFonts w:cs="Arial"/>
          <w:sz w:val="22"/>
        </w:rPr>
      </w:pPr>
      <w:r w:rsidRPr="0064331F">
        <w:rPr>
          <w:rFonts w:cs="Arial"/>
          <w:sz w:val="22"/>
        </w:rPr>
        <w:t>Monday 18</w:t>
      </w:r>
      <w:r w:rsidRPr="0064331F">
        <w:rPr>
          <w:rFonts w:cs="Arial"/>
          <w:sz w:val="22"/>
          <w:vertAlign w:val="superscript"/>
        </w:rPr>
        <w:t>th</w:t>
      </w:r>
      <w:r w:rsidRPr="0064331F">
        <w:rPr>
          <w:rFonts w:cs="Arial"/>
          <w:sz w:val="22"/>
        </w:rPr>
        <w:t xml:space="preserve"> January, 2021</w:t>
      </w:r>
      <w:r w:rsidR="00B053C9" w:rsidRPr="0064331F">
        <w:rPr>
          <w:rFonts w:cs="Arial"/>
          <w:sz w:val="22"/>
        </w:rPr>
        <w:t xml:space="preserve"> </w:t>
      </w:r>
      <w:r w:rsidR="00425CBD" w:rsidRPr="0064331F">
        <w:rPr>
          <w:rFonts w:cs="Arial"/>
          <w:sz w:val="22"/>
        </w:rPr>
        <w:t>Gundagai Services Club</w:t>
      </w:r>
      <w:r w:rsidR="00F95878" w:rsidRPr="0064331F">
        <w:rPr>
          <w:rFonts w:cs="Arial"/>
          <w:sz w:val="22"/>
        </w:rPr>
        <w:t>,</w:t>
      </w:r>
      <w:r w:rsidRPr="0064331F">
        <w:rPr>
          <w:rFonts w:cs="Arial"/>
          <w:sz w:val="22"/>
        </w:rPr>
        <w:t xml:space="preserve"> 7pm till 8.30pm</w:t>
      </w:r>
      <w:r w:rsidR="00F95878" w:rsidRPr="0064331F">
        <w:rPr>
          <w:rFonts w:cs="Arial"/>
          <w:sz w:val="22"/>
        </w:rPr>
        <w:t>.</w:t>
      </w:r>
    </w:p>
    <w:p w14:paraId="4745326B" w14:textId="7168A504" w:rsidR="00FF3805" w:rsidRPr="0064331F" w:rsidRDefault="00FF3805" w:rsidP="00087ACD">
      <w:pPr>
        <w:ind w:firstLine="709"/>
        <w:rPr>
          <w:rFonts w:cs="Arial"/>
          <w:sz w:val="22"/>
        </w:rPr>
      </w:pPr>
      <w:r w:rsidRPr="0064331F">
        <w:rPr>
          <w:rFonts w:cs="Arial"/>
          <w:sz w:val="22"/>
        </w:rPr>
        <w:t>Tuesday 19</w:t>
      </w:r>
      <w:r w:rsidRPr="0064331F">
        <w:rPr>
          <w:rFonts w:cs="Arial"/>
          <w:sz w:val="22"/>
          <w:vertAlign w:val="superscript"/>
        </w:rPr>
        <w:t>th</w:t>
      </w:r>
      <w:r w:rsidR="00B053C9" w:rsidRPr="0064331F">
        <w:rPr>
          <w:rFonts w:cs="Arial"/>
          <w:sz w:val="22"/>
        </w:rPr>
        <w:t xml:space="preserve"> January, 2021 </w:t>
      </w:r>
      <w:r w:rsidRPr="0064331F">
        <w:rPr>
          <w:rFonts w:cs="Arial"/>
          <w:sz w:val="22"/>
        </w:rPr>
        <w:t xml:space="preserve">Cootamundra </w:t>
      </w:r>
      <w:r w:rsidR="004E3652" w:rsidRPr="0064331F">
        <w:rPr>
          <w:rFonts w:cs="Arial"/>
          <w:sz w:val="22"/>
        </w:rPr>
        <w:t>Ex-</w:t>
      </w:r>
      <w:r w:rsidRPr="0064331F">
        <w:rPr>
          <w:rFonts w:cs="Arial"/>
          <w:sz w:val="22"/>
        </w:rPr>
        <w:t>Services Club</w:t>
      </w:r>
      <w:r w:rsidR="00F95878" w:rsidRPr="0064331F">
        <w:rPr>
          <w:rFonts w:cs="Arial"/>
          <w:sz w:val="22"/>
        </w:rPr>
        <w:t>,</w:t>
      </w:r>
      <w:r w:rsidRPr="0064331F">
        <w:rPr>
          <w:rFonts w:cs="Arial"/>
          <w:sz w:val="22"/>
        </w:rPr>
        <w:t xml:space="preserve"> 7pm till 8.3</w:t>
      </w:r>
      <w:r w:rsidR="00425CBD" w:rsidRPr="0064331F">
        <w:rPr>
          <w:rFonts w:cs="Arial"/>
          <w:sz w:val="22"/>
        </w:rPr>
        <w:t>0</w:t>
      </w:r>
      <w:r w:rsidRPr="0064331F">
        <w:rPr>
          <w:rFonts w:cs="Arial"/>
          <w:sz w:val="22"/>
        </w:rPr>
        <w:t>pm</w:t>
      </w:r>
      <w:r w:rsidR="00F95878" w:rsidRPr="0064331F">
        <w:rPr>
          <w:rFonts w:cs="Arial"/>
          <w:sz w:val="22"/>
        </w:rPr>
        <w:t>.</w:t>
      </w:r>
    </w:p>
    <w:p w14:paraId="44AC085D" w14:textId="1E9245DB" w:rsidR="00FF3805" w:rsidRPr="0064331F" w:rsidRDefault="00425CBD" w:rsidP="00F357C7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64331F">
        <w:rPr>
          <w:rFonts w:cs="Arial"/>
          <w:sz w:val="22"/>
        </w:rPr>
        <w:t>Council will</w:t>
      </w:r>
      <w:r w:rsidR="005A2638" w:rsidRPr="0064331F">
        <w:rPr>
          <w:rFonts w:cs="Arial"/>
          <w:sz w:val="22"/>
        </w:rPr>
        <w:t xml:space="preserve"> conduct </w:t>
      </w:r>
      <w:r w:rsidR="004E3652" w:rsidRPr="0064331F">
        <w:rPr>
          <w:rFonts w:cs="Arial"/>
          <w:sz w:val="22"/>
        </w:rPr>
        <w:t xml:space="preserve">two </w:t>
      </w:r>
      <w:r w:rsidR="005A2638" w:rsidRPr="0064331F">
        <w:rPr>
          <w:rFonts w:cs="Arial"/>
          <w:sz w:val="22"/>
        </w:rPr>
        <w:t xml:space="preserve">listening posts </w:t>
      </w:r>
      <w:r w:rsidR="00FF3805" w:rsidRPr="0064331F">
        <w:rPr>
          <w:rFonts w:cs="Arial"/>
          <w:sz w:val="22"/>
        </w:rPr>
        <w:t>at the following sites</w:t>
      </w:r>
      <w:r w:rsidR="00F37AFF" w:rsidRPr="0064331F">
        <w:rPr>
          <w:rFonts w:cs="Arial"/>
          <w:sz w:val="22"/>
        </w:rPr>
        <w:t>:</w:t>
      </w:r>
    </w:p>
    <w:p w14:paraId="16C9BB4B" w14:textId="43F34189" w:rsidR="00FF3805" w:rsidRPr="0064331F" w:rsidRDefault="00D84C4E" w:rsidP="00087ACD">
      <w:pPr>
        <w:ind w:firstLine="709"/>
        <w:rPr>
          <w:rFonts w:cs="Arial"/>
          <w:sz w:val="22"/>
        </w:rPr>
      </w:pPr>
      <w:r w:rsidRPr="0064331F">
        <w:rPr>
          <w:rFonts w:cs="Arial"/>
          <w:sz w:val="22"/>
        </w:rPr>
        <w:t>Cootamundra:</w:t>
      </w:r>
      <w:r w:rsidR="002335A3" w:rsidRPr="0064331F">
        <w:rPr>
          <w:rFonts w:cs="Arial"/>
          <w:sz w:val="22"/>
        </w:rPr>
        <w:t xml:space="preserve"> Thursday 21</w:t>
      </w:r>
      <w:r w:rsidR="002335A3" w:rsidRPr="0064331F">
        <w:rPr>
          <w:rFonts w:cs="Arial"/>
          <w:sz w:val="22"/>
          <w:vertAlign w:val="superscript"/>
        </w:rPr>
        <w:t>st</w:t>
      </w:r>
      <w:r w:rsidR="002335A3" w:rsidRPr="0064331F">
        <w:rPr>
          <w:rFonts w:cs="Arial"/>
          <w:sz w:val="22"/>
        </w:rPr>
        <w:t xml:space="preserve"> January</w:t>
      </w:r>
      <w:r w:rsidR="00006404" w:rsidRPr="0064331F">
        <w:rPr>
          <w:rFonts w:cs="Arial"/>
          <w:sz w:val="22"/>
        </w:rPr>
        <w:t>, 2021</w:t>
      </w:r>
      <w:r w:rsidR="002335A3" w:rsidRPr="0064331F">
        <w:rPr>
          <w:rFonts w:cs="Arial"/>
          <w:sz w:val="22"/>
        </w:rPr>
        <w:t xml:space="preserve"> </w:t>
      </w:r>
      <w:r w:rsidR="00B053C9" w:rsidRPr="0064331F">
        <w:rPr>
          <w:rFonts w:cs="Arial"/>
          <w:sz w:val="22"/>
        </w:rPr>
        <w:t>outside IGA Supermarket</w:t>
      </w:r>
      <w:r w:rsidR="00F95878" w:rsidRPr="0064331F">
        <w:rPr>
          <w:rFonts w:cs="Arial"/>
          <w:sz w:val="22"/>
        </w:rPr>
        <w:t>,</w:t>
      </w:r>
      <w:r w:rsidR="00B053C9" w:rsidRPr="0064331F">
        <w:rPr>
          <w:rFonts w:cs="Arial"/>
          <w:sz w:val="22"/>
        </w:rPr>
        <w:t xml:space="preserve"> 9am</w:t>
      </w:r>
      <w:r w:rsidR="002335A3" w:rsidRPr="0064331F">
        <w:rPr>
          <w:rFonts w:cs="Arial"/>
          <w:sz w:val="22"/>
        </w:rPr>
        <w:t xml:space="preserve"> ti</w:t>
      </w:r>
      <w:r w:rsidR="00E87319" w:rsidRPr="0064331F">
        <w:rPr>
          <w:rFonts w:cs="Arial"/>
          <w:sz w:val="22"/>
        </w:rPr>
        <w:t>ll 5</w:t>
      </w:r>
      <w:r w:rsidR="002335A3" w:rsidRPr="0064331F">
        <w:rPr>
          <w:rFonts w:cs="Arial"/>
          <w:sz w:val="22"/>
        </w:rPr>
        <w:t xml:space="preserve"> </w:t>
      </w:r>
      <w:r w:rsidR="00E87319" w:rsidRPr="0064331F">
        <w:rPr>
          <w:rFonts w:cs="Arial"/>
          <w:sz w:val="22"/>
        </w:rPr>
        <w:t>pm</w:t>
      </w:r>
      <w:r w:rsidR="00F95878" w:rsidRPr="0064331F">
        <w:rPr>
          <w:rFonts w:cs="Arial"/>
          <w:sz w:val="22"/>
        </w:rPr>
        <w:t>.</w:t>
      </w:r>
    </w:p>
    <w:p w14:paraId="226CEFA7" w14:textId="24FFDA14" w:rsidR="00074FD2" w:rsidRPr="0064331F" w:rsidRDefault="00FF3805" w:rsidP="00684C1C">
      <w:pPr>
        <w:ind w:firstLine="709"/>
        <w:rPr>
          <w:rFonts w:cs="Arial"/>
          <w:sz w:val="22"/>
        </w:rPr>
      </w:pPr>
      <w:r w:rsidRPr="0064331F">
        <w:rPr>
          <w:rFonts w:cs="Arial"/>
          <w:sz w:val="22"/>
        </w:rPr>
        <w:t>Gundagai</w:t>
      </w:r>
      <w:r w:rsidR="00D84C4E" w:rsidRPr="0064331F">
        <w:rPr>
          <w:rFonts w:cs="Arial"/>
          <w:sz w:val="22"/>
        </w:rPr>
        <w:t>:</w:t>
      </w:r>
      <w:r w:rsidR="00B053C9" w:rsidRPr="0064331F">
        <w:rPr>
          <w:rFonts w:cs="Arial"/>
          <w:sz w:val="22"/>
        </w:rPr>
        <w:t xml:space="preserve"> </w:t>
      </w:r>
      <w:r w:rsidR="002335A3" w:rsidRPr="0064331F">
        <w:rPr>
          <w:rFonts w:cs="Arial"/>
          <w:sz w:val="22"/>
        </w:rPr>
        <w:t>Wednesday 20</w:t>
      </w:r>
      <w:r w:rsidR="002335A3" w:rsidRPr="0064331F">
        <w:rPr>
          <w:rFonts w:cs="Arial"/>
          <w:sz w:val="22"/>
          <w:vertAlign w:val="superscript"/>
        </w:rPr>
        <w:t>th</w:t>
      </w:r>
      <w:r w:rsidR="00627B46" w:rsidRPr="0064331F">
        <w:rPr>
          <w:rFonts w:cs="Arial"/>
          <w:sz w:val="22"/>
        </w:rPr>
        <w:t xml:space="preserve"> January</w:t>
      </w:r>
      <w:r w:rsidR="00006404" w:rsidRPr="0064331F">
        <w:rPr>
          <w:rFonts w:cs="Arial"/>
          <w:sz w:val="22"/>
        </w:rPr>
        <w:t>, 2021</w:t>
      </w:r>
      <w:r w:rsidR="00B053C9" w:rsidRPr="0064331F">
        <w:rPr>
          <w:rFonts w:cs="Arial"/>
          <w:sz w:val="22"/>
        </w:rPr>
        <w:t xml:space="preserve"> outside </w:t>
      </w:r>
      <w:proofErr w:type="spellStart"/>
      <w:r w:rsidR="00B053C9" w:rsidRPr="0064331F">
        <w:rPr>
          <w:rFonts w:cs="Arial"/>
          <w:sz w:val="22"/>
        </w:rPr>
        <w:t>Foodworks</w:t>
      </w:r>
      <w:proofErr w:type="spellEnd"/>
      <w:r w:rsidR="00B053C9" w:rsidRPr="0064331F">
        <w:rPr>
          <w:rFonts w:cs="Arial"/>
          <w:sz w:val="22"/>
        </w:rPr>
        <w:t xml:space="preserve"> Supermarket</w:t>
      </w:r>
      <w:r w:rsidR="00F95878" w:rsidRPr="0064331F">
        <w:rPr>
          <w:rFonts w:cs="Arial"/>
          <w:sz w:val="22"/>
        </w:rPr>
        <w:t>,</w:t>
      </w:r>
      <w:r w:rsidR="00627B46" w:rsidRPr="0064331F">
        <w:rPr>
          <w:rFonts w:cs="Arial"/>
          <w:sz w:val="22"/>
        </w:rPr>
        <w:t xml:space="preserve"> 9 am till 5 pm</w:t>
      </w:r>
      <w:r w:rsidR="005E0B8A" w:rsidRPr="0064331F">
        <w:rPr>
          <w:rFonts w:cs="Arial"/>
          <w:sz w:val="22"/>
        </w:rPr>
        <w:t xml:space="preserve">. </w:t>
      </w:r>
    </w:p>
    <w:p w14:paraId="783FECE8" w14:textId="77777777" w:rsidR="00087ACD" w:rsidRPr="00565A26" w:rsidRDefault="00087ACD" w:rsidP="002909AE">
      <w:pPr>
        <w:pStyle w:val="ListParagraph"/>
        <w:rPr>
          <w:rFonts w:cs="Arial"/>
          <w:sz w:val="22"/>
        </w:rPr>
      </w:pPr>
    </w:p>
    <w:p w14:paraId="47707FA9" w14:textId="77777777" w:rsidR="00F357C7" w:rsidRPr="00565A26" w:rsidRDefault="00F41501">
      <w:pPr>
        <w:rPr>
          <w:rFonts w:cs="Arial"/>
          <w:i/>
          <w:sz w:val="22"/>
        </w:rPr>
      </w:pPr>
      <w:r w:rsidRPr="00565A26">
        <w:rPr>
          <w:rFonts w:cs="Arial"/>
          <w:i/>
          <w:sz w:val="22"/>
        </w:rPr>
        <w:t>How will the SRV Impact on Rates?</w:t>
      </w:r>
    </w:p>
    <w:p w14:paraId="41DE4824" w14:textId="1E65B3C5" w:rsidR="00F41501" w:rsidRPr="00565A26" w:rsidRDefault="00F41501">
      <w:pPr>
        <w:rPr>
          <w:rFonts w:cs="Arial"/>
          <w:sz w:val="22"/>
        </w:rPr>
      </w:pPr>
      <w:r w:rsidRPr="00565A26">
        <w:rPr>
          <w:rFonts w:cs="Arial"/>
          <w:sz w:val="22"/>
        </w:rPr>
        <w:t>The following tables outline the average annual changes for each rating category</w:t>
      </w:r>
      <w:r w:rsidR="00D31F51">
        <w:rPr>
          <w:rFonts w:cs="Arial"/>
          <w:sz w:val="22"/>
        </w:rPr>
        <w:t>, as well as the overall impact for Council,</w:t>
      </w:r>
      <w:r w:rsidRPr="00565A26">
        <w:rPr>
          <w:rFonts w:cs="Arial"/>
          <w:sz w:val="22"/>
        </w:rPr>
        <w:t xml:space="preserve"> in both percentage and </w:t>
      </w:r>
      <w:r w:rsidR="005B7215">
        <w:rPr>
          <w:rFonts w:cs="Arial"/>
          <w:sz w:val="22"/>
        </w:rPr>
        <w:t>dollar</w:t>
      </w:r>
      <w:r w:rsidRPr="00565A26">
        <w:rPr>
          <w:rFonts w:cs="Arial"/>
          <w:sz w:val="22"/>
        </w:rPr>
        <w:t xml:space="preserve"> terms. </w:t>
      </w:r>
      <w:r w:rsidR="000E3BAA" w:rsidRPr="00565A26">
        <w:rPr>
          <w:rFonts w:cs="Arial"/>
          <w:sz w:val="22"/>
        </w:rPr>
        <w:t xml:space="preserve">Cumulative increase is presented for the five years in percentage and </w:t>
      </w:r>
      <w:r w:rsidR="005B7215">
        <w:rPr>
          <w:rFonts w:cs="Arial"/>
          <w:sz w:val="22"/>
        </w:rPr>
        <w:t>dollar</w:t>
      </w:r>
      <w:r w:rsidR="000E3BAA" w:rsidRPr="00565A26">
        <w:rPr>
          <w:rFonts w:cs="Arial"/>
          <w:sz w:val="22"/>
        </w:rPr>
        <w:t xml:space="preserve"> terms</w:t>
      </w:r>
      <w:r w:rsidR="00BD5041">
        <w:rPr>
          <w:rFonts w:cs="Arial"/>
          <w:sz w:val="22"/>
        </w:rPr>
        <w:t xml:space="preserve"> (note figures are rounded to the nearest dollar)</w:t>
      </w:r>
      <w:r w:rsidR="000E3BAA" w:rsidRPr="00565A26">
        <w:rPr>
          <w:rFonts w:cs="Arial"/>
          <w:sz w:val="22"/>
        </w:rPr>
        <w:t>.</w:t>
      </w:r>
    </w:p>
    <w:p w14:paraId="5B75D6DF" w14:textId="77777777" w:rsidR="00F357C7" w:rsidRPr="00F357C7" w:rsidRDefault="00087ACD" w:rsidP="00F357C7">
      <w:pPr>
        <w:rPr>
          <w:rFonts w:eastAsia="Calibri" w:cs="Arial"/>
          <w:b/>
          <w:sz w:val="22"/>
          <w:lang w:val="en-US"/>
        </w:rPr>
      </w:pPr>
      <w:r w:rsidRPr="00565A26">
        <w:rPr>
          <w:rFonts w:eastAsia="Calibri" w:cs="Arial"/>
          <w:b/>
          <w:sz w:val="22"/>
          <w:lang w:val="en-US"/>
        </w:rPr>
        <w:t>Table 1</w:t>
      </w:r>
      <w:r w:rsidR="00F357C7" w:rsidRPr="00F357C7">
        <w:rPr>
          <w:rFonts w:eastAsia="Calibri" w:cs="Arial"/>
          <w:b/>
          <w:sz w:val="22"/>
          <w:lang w:val="en-US"/>
        </w:rPr>
        <w:t>. Impact on Average Farmland Rate of an Expiring Special Rate Variation and a s508A Special Variation of 19%, 18%, 5%, 5%, 5%</w:t>
      </w:r>
    </w:p>
    <w:p w14:paraId="52C117D4" w14:textId="77777777" w:rsidR="00F357C7" w:rsidRPr="00F357C7" w:rsidRDefault="00F357C7" w:rsidP="00F357C7">
      <w:pPr>
        <w:rPr>
          <w:rFonts w:eastAsia="Calibri" w:cs="Arial"/>
          <w:sz w:val="22"/>
          <w:lang w:val="en-US"/>
        </w:rPr>
      </w:pPr>
      <w:r w:rsidRPr="00F357C7">
        <w:rPr>
          <w:rFonts w:eastAsia="Calibri" w:cs="Arial"/>
          <w:noProof/>
          <w:sz w:val="22"/>
          <w:lang w:eastAsia="en-AU"/>
        </w:rPr>
        <w:drawing>
          <wp:inline distT="0" distB="0" distL="0" distR="0" wp14:anchorId="4CD79112" wp14:editId="04E54FDD">
            <wp:extent cx="5943600" cy="185917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8D6C" w14:textId="77777777" w:rsidR="00F357C7" w:rsidRPr="00F357C7" w:rsidRDefault="00087ACD" w:rsidP="00F357C7">
      <w:pPr>
        <w:rPr>
          <w:rFonts w:eastAsia="Calibri" w:cs="Arial"/>
          <w:b/>
          <w:sz w:val="22"/>
          <w:lang w:val="en-US"/>
        </w:rPr>
      </w:pPr>
      <w:r w:rsidRPr="00565A26">
        <w:rPr>
          <w:rFonts w:eastAsia="Calibri" w:cs="Arial"/>
          <w:b/>
          <w:sz w:val="22"/>
          <w:lang w:val="en-US"/>
        </w:rPr>
        <w:lastRenderedPageBreak/>
        <w:t>Table 2</w:t>
      </w:r>
      <w:r w:rsidR="00F357C7" w:rsidRPr="00F357C7">
        <w:rPr>
          <w:rFonts w:eastAsia="Calibri" w:cs="Arial"/>
          <w:b/>
          <w:sz w:val="22"/>
          <w:lang w:val="en-US"/>
        </w:rPr>
        <w:t>. Impact on Average Residential Rate of an Expiring Special Rate Variation and a s508A Special Variation of 19%, 18%, 5%, 5%, 5%</w:t>
      </w:r>
    </w:p>
    <w:p w14:paraId="6B5252A1" w14:textId="77777777" w:rsidR="00F357C7" w:rsidRPr="00F357C7" w:rsidRDefault="00F357C7" w:rsidP="00F357C7">
      <w:pPr>
        <w:rPr>
          <w:rFonts w:eastAsia="Calibri" w:cs="Arial"/>
          <w:sz w:val="22"/>
          <w:lang w:val="en-US"/>
        </w:rPr>
      </w:pPr>
      <w:r w:rsidRPr="00F357C7">
        <w:rPr>
          <w:rFonts w:eastAsia="Calibri" w:cs="Arial"/>
          <w:noProof/>
          <w:sz w:val="22"/>
          <w:lang w:eastAsia="en-AU"/>
        </w:rPr>
        <w:drawing>
          <wp:inline distT="0" distB="0" distL="0" distR="0" wp14:anchorId="6C357493" wp14:editId="59C61A72">
            <wp:extent cx="5943600" cy="19829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E7FE" w14:textId="77777777" w:rsidR="00F357C7" w:rsidRPr="00F357C7" w:rsidRDefault="00F357C7" w:rsidP="00F357C7">
      <w:pPr>
        <w:rPr>
          <w:rFonts w:eastAsia="Calibri" w:cs="Arial"/>
          <w:sz w:val="22"/>
          <w:lang w:val="en-US"/>
        </w:rPr>
      </w:pPr>
    </w:p>
    <w:p w14:paraId="3228DEB4" w14:textId="77777777" w:rsidR="00F357C7" w:rsidRPr="00F357C7" w:rsidRDefault="00087ACD" w:rsidP="00F357C7">
      <w:pPr>
        <w:rPr>
          <w:rFonts w:eastAsia="Calibri" w:cs="Arial"/>
          <w:b/>
          <w:sz w:val="22"/>
          <w:lang w:val="en-US"/>
        </w:rPr>
      </w:pPr>
      <w:r w:rsidRPr="00565A26">
        <w:rPr>
          <w:rFonts w:eastAsia="Calibri" w:cs="Arial"/>
          <w:b/>
          <w:sz w:val="22"/>
          <w:lang w:val="en-US"/>
        </w:rPr>
        <w:t>Table 3</w:t>
      </w:r>
      <w:r w:rsidR="00F357C7" w:rsidRPr="00F357C7">
        <w:rPr>
          <w:rFonts w:eastAsia="Calibri" w:cs="Arial"/>
          <w:b/>
          <w:sz w:val="22"/>
          <w:lang w:val="en-US"/>
        </w:rPr>
        <w:t>. Impact on Average Business Rate of an Expiring Special Rate Variation and a s508A Special Variation of 19%, 18%, 5%, 5%, 5%</w:t>
      </w:r>
    </w:p>
    <w:p w14:paraId="64F47AA7" w14:textId="77777777" w:rsidR="00F357C7" w:rsidRPr="00F357C7" w:rsidRDefault="00F357C7" w:rsidP="00F357C7">
      <w:pPr>
        <w:rPr>
          <w:rFonts w:eastAsia="Calibri" w:cs="Arial"/>
          <w:sz w:val="22"/>
          <w:lang w:val="en-US"/>
        </w:rPr>
      </w:pPr>
      <w:r w:rsidRPr="00F357C7">
        <w:rPr>
          <w:rFonts w:eastAsia="Calibri" w:cs="Arial"/>
          <w:noProof/>
          <w:sz w:val="22"/>
          <w:lang w:eastAsia="en-AU"/>
        </w:rPr>
        <w:drawing>
          <wp:inline distT="0" distB="0" distL="0" distR="0" wp14:anchorId="1FF168C0" wp14:editId="0B4C3F5B">
            <wp:extent cx="5943600" cy="185917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23BA7" w14:textId="77777777" w:rsidR="00F357C7" w:rsidRPr="00565A26" w:rsidRDefault="00F357C7">
      <w:pPr>
        <w:rPr>
          <w:rFonts w:cs="Arial"/>
          <w:sz w:val="22"/>
        </w:rPr>
      </w:pPr>
    </w:p>
    <w:p w14:paraId="3BF4A59B" w14:textId="77777777" w:rsidR="00E73730" w:rsidRPr="004B5BD1" w:rsidRDefault="00E73730" w:rsidP="00E73730">
      <w:pPr>
        <w:rPr>
          <w:rFonts w:eastAsia="Calibri" w:cs="Arial"/>
          <w:b/>
          <w:sz w:val="22"/>
          <w:lang w:val="en-US"/>
        </w:rPr>
      </w:pPr>
      <w:r w:rsidRPr="00F91407">
        <w:rPr>
          <w:rFonts w:eastAsia="Calibri" w:cs="Arial"/>
          <w:b/>
          <w:sz w:val="22"/>
          <w:lang w:val="en-US"/>
        </w:rPr>
        <w:t>Table 4. Impact on Total Rate Revenue of an Expiring Special Rate Variation and a s508A Special Variation of 19%, 18%, 5%, 5%, 5%</w:t>
      </w:r>
    </w:p>
    <w:p w14:paraId="338200E1" w14:textId="77777777" w:rsidR="00E73730" w:rsidRPr="00E73730" w:rsidRDefault="00E73730" w:rsidP="00E73730">
      <w:pPr>
        <w:rPr>
          <w:rFonts w:eastAsia="Calibri" w:cs="Arial"/>
          <w:sz w:val="22"/>
          <w:lang w:val="en-US"/>
        </w:rPr>
      </w:pPr>
      <w:r w:rsidRPr="004B5BD1">
        <w:rPr>
          <w:rFonts w:eastAsia="Calibri" w:cs="Arial"/>
          <w:noProof/>
          <w:sz w:val="22"/>
          <w:lang w:eastAsia="en-AU"/>
        </w:rPr>
        <w:drawing>
          <wp:inline distT="0" distB="0" distL="0" distR="0" wp14:anchorId="072742FB" wp14:editId="08413E26">
            <wp:extent cx="5943600" cy="23649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7BDA" w14:textId="49564C50" w:rsidR="00E73730" w:rsidRDefault="00E73730">
      <w:pPr>
        <w:rPr>
          <w:rFonts w:cs="Arial"/>
          <w:sz w:val="22"/>
        </w:rPr>
      </w:pPr>
    </w:p>
    <w:p w14:paraId="0EBA6ABD" w14:textId="0532906F" w:rsidR="007F7DCA" w:rsidRDefault="007F7DCA">
      <w:pPr>
        <w:rPr>
          <w:rFonts w:cs="Arial"/>
          <w:sz w:val="22"/>
        </w:rPr>
      </w:pPr>
    </w:p>
    <w:p w14:paraId="7FDB9E74" w14:textId="77777777" w:rsidR="007F7DCA" w:rsidRPr="00565A26" w:rsidRDefault="007F7DCA">
      <w:pPr>
        <w:rPr>
          <w:rFonts w:cs="Arial"/>
          <w:sz w:val="22"/>
        </w:rPr>
      </w:pPr>
    </w:p>
    <w:p w14:paraId="4C6411F1" w14:textId="77777777" w:rsidR="002909AE" w:rsidRPr="00565A26" w:rsidRDefault="002909AE">
      <w:pPr>
        <w:rPr>
          <w:rFonts w:cs="Arial"/>
          <w:b/>
          <w:sz w:val="22"/>
        </w:rPr>
      </w:pPr>
      <w:r w:rsidRPr="00565A26">
        <w:rPr>
          <w:rFonts w:cs="Arial"/>
          <w:b/>
          <w:sz w:val="22"/>
        </w:rPr>
        <w:lastRenderedPageBreak/>
        <w:t>Table 5. Cootamundra-Gundagai Operating Results ($’000)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1221"/>
        <w:gridCol w:w="1218"/>
        <w:gridCol w:w="1218"/>
        <w:gridCol w:w="1021"/>
      </w:tblGrid>
      <w:tr w:rsidR="002909AE" w:rsidRPr="00565A26" w14:paraId="7EAEE6D8" w14:textId="77777777" w:rsidTr="002909AE">
        <w:tc>
          <w:tcPr>
            <w:tcW w:w="4106" w:type="dxa"/>
          </w:tcPr>
          <w:p w14:paraId="361129C9" w14:textId="77777777" w:rsidR="002909AE" w:rsidRPr="00565A26" w:rsidRDefault="002909AE">
            <w:pPr>
              <w:rPr>
                <w:rFonts w:cs="Arial"/>
                <w:b/>
                <w:sz w:val="22"/>
              </w:rPr>
            </w:pPr>
            <w:r w:rsidRPr="00565A26">
              <w:rPr>
                <w:rFonts w:cs="Arial"/>
                <w:b/>
                <w:sz w:val="22"/>
              </w:rPr>
              <w:t>Financial Year</w:t>
            </w:r>
          </w:p>
        </w:tc>
        <w:tc>
          <w:tcPr>
            <w:tcW w:w="1221" w:type="dxa"/>
          </w:tcPr>
          <w:p w14:paraId="4B7CD8B0" w14:textId="77777777" w:rsidR="002909AE" w:rsidRPr="00565A26" w:rsidRDefault="002909AE">
            <w:pPr>
              <w:rPr>
                <w:rFonts w:cs="Arial"/>
                <w:b/>
                <w:sz w:val="22"/>
              </w:rPr>
            </w:pPr>
            <w:r w:rsidRPr="00565A26">
              <w:rPr>
                <w:rFonts w:cs="Arial"/>
                <w:b/>
                <w:sz w:val="22"/>
              </w:rPr>
              <w:t>2016/17</w:t>
            </w:r>
          </w:p>
        </w:tc>
        <w:tc>
          <w:tcPr>
            <w:tcW w:w="1218" w:type="dxa"/>
          </w:tcPr>
          <w:p w14:paraId="0F91BB85" w14:textId="77777777" w:rsidR="002909AE" w:rsidRPr="00565A26" w:rsidRDefault="002909AE">
            <w:pPr>
              <w:rPr>
                <w:rFonts w:cs="Arial"/>
                <w:b/>
                <w:sz w:val="22"/>
              </w:rPr>
            </w:pPr>
            <w:r w:rsidRPr="00565A26">
              <w:rPr>
                <w:rFonts w:cs="Arial"/>
                <w:b/>
                <w:sz w:val="22"/>
              </w:rPr>
              <w:t>2017/18</w:t>
            </w:r>
          </w:p>
        </w:tc>
        <w:tc>
          <w:tcPr>
            <w:tcW w:w="1218" w:type="dxa"/>
          </w:tcPr>
          <w:p w14:paraId="64D3A027" w14:textId="77777777" w:rsidR="002909AE" w:rsidRPr="00565A26" w:rsidRDefault="002909AE">
            <w:pPr>
              <w:rPr>
                <w:rFonts w:cs="Arial"/>
                <w:b/>
                <w:sz w:val="22"/>
              </w:rPr>
            </w:pPr>
            <w:r w:rsidRPr="00565A26">
              <w:rPr>
                <w:rFonts w:cs="Arial"/>
                <w:b/>
                <w:sz w:val="22"/>
              </w:rPr>
              <w:t>2018/19</w:t>
            </w:r>
          </w:p>
        </w:tc>
        <w:tc>
          <w:tcPr>
            <w:tcW w:w="1021" w:type="dxa"/>
          </w:tcPr>
          <w:p w14:paraId="25B3D2E8" w14:textId="77777777" w:rsidR="002909AE" w:rsidRPr="00C179D3" w:rsidRDefault="002909AE">
            <w:pPr>
              <w:rPr>
                <w:rFonts w:cs="Arial"/>
                <w:b/>
                <w:sz w:val="22"/>
              </w:rPr>
            </w:pPr>
            <w:r w:rsidRPr="00C179D3">
              <w:rPr>
                <w:rFonts w:cs="Arial"/>
                <w:b/>
                <w:sz w:val="22"/>
              </w:rPr>
              <w:t>2019/20</w:t>
            </w:r>
          </w:p>
        </w:tc>
      </w:tr>
      <w:tr w:rsidR="002909AE" w:rsidRPr="00565A26" w14:paraId="4DDC0F05" w14:textId="77777777" w:rsidTr="002909AE">
        <w:tc>
          <w:tcPr>
            <w:tcW w:w="4106" w:type="dxa"/>
          </w:tcPr>
          <w:p w14:paraId="16DAE123" w14:textId="77777777" w:rsidR="002909AE" w:rsidRPr="00565A26" w:rsidRDefault="002909AE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Revenue</w:t>
            </w:r>
          </w:p>
        </w:tc>
        <w:tc>
          <w:tcPr>
            <w:tcW w:w="1221" w:type="dxa"/>
          </w:tcPr>
          <w:p w14:paraId="65FBA825" w14:textId="77777777" w:rsidR="002909AE" w:rsidRPr="00565A26" w:rsidRDefault="002909AE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48,635</w:t>
            </w:r>
          </w:p>
        </w:tc>
        <w:tc>
          <w:tcPr>
            <w:tcW w:w="1218" w:type="dxa"/>
          </w:tcPr>
          <w:p w14:paraId="026E88A2" w14:textId="77777777" w:rsidR="002909AE" w:rsidRPr="00565A26" w:rsidRDefault="002909AE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31,777</w:t>
            </w:r>
          </w:p>
        </w:tc>
        <w:tc>
          <w:tcPr>
            <w:tcW w:w="1218" w:type="dxa"/>
          </w:tcPr>
          <w:p w14:paraId="657C659F" w14:textId="77777777" w:rsidR="002909AE" w:rsidRPr="00565A26" w:rsidRDefault="00B92A95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42,835</w:t>
            </w:r>
          </w:p>
        </w:tc>
        <w:tc>
          <w:tcPr>
            <w:tcW w:w="1021" w:type="dxa"/>
          </w:tcPr>
          <w:p w14:paraId="70537C7F" w14:textId="6A570D13" w:rsidR="002909AE" w:rsidRPr="00C179D3" w:rsidRDefault="00C179D3">
            <w:pPr>
              <w:rPr>
                <w:rFonts w:cs="Arial"/>
                <w:sz w:val="22"/>
              </w:rPr>
            </w:pPr>
            <w:r w:rsidRPr="00C179D3">
              <w:rPr>
                <w:rFonts w:cs="Arial"/>
                <w:sz w:val="22"/>
              </w:rPr>
              <w:t>41,196</w:t>
            </w:r>
          </w:p>
        </w:tc>
      </w:tr>
      <w:tr w:rsidR="002909AE" w:rsidRPr="00565A26" w14:paraId="594969C6" w14:textId="77777777" w:rsidTr="002909AE">
        <w:tc>
          <w:tcPr>
            <w:tcW w:w="4106" w:type="dxa"/>
          </w:tcPr>
          <w:p w14:paraId="0E390876" w14:textId="77777777" w:rsidR="002909AE" w:rsidRPr="00565A26" w:rsidRDefault="002909AE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Expenses</w:t>
            </w:r>
          </w:p>
        </w:tc>
        <w:tc>
          <w:tcPr>
            <w:tcW w:w="1221" w:type="dxa"/>
          </w:tcPr>
          <w:p w14:paraId="3D0661F2" w14:textId="77777777" w:rsidR="002909AE" w:rsidRPr="00565A26" w:rsidRDefault="002909AE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43,578</w:t>
            </w:r>
          </w:p>
        </w:tc>
        <w:tc>
          <w:tcPr>
            <w:tcW w:w="1218" w:type="dxa"/>
          </w:tcPr>
          <w:p w14:paraId="38E85AE7" w14:textId="77777777" w:rsidR="002909AE" w:rsidRPr="00565A26" w:rsidRDefault="002909AE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38,856</w:t>
            </w:r>
          </w:p>
        </w:tc>
        <w:tc>
          <w:tcPr>
            <w:tcW w:w="1218" w:type="dxa"/>
          </w:tcPr>
          <w:p w14:paraId="44F42F87" w14:textId="77777777" w:rsidR="002909AE" w:rsidRPr="00565A26" w:rsidRDefault="00B92A95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38,488</w:t>
            </w:r>
          </w:p>
        </w:tc>
        <w:tc>
          <w:tcPr>
            <w:tcW w:w="1021" w:type="dxa"/>
          </w:tcPr>
          <w:p w14:paraId="66D01F30" w14:textId="26191B29" w:rsidR="002909AE" w:rsidRPr="00C179D3" w:rsidRDefault="00C179D3">
            <w:pPr>
              <w:rPr>
                <w:rFonts w:cs="Arial"/>
                <w:sz w:val="22"/>
              </w:rPr>
            </w:pPr>
            <w:r w:rsidRPr="00C179D3">
              <w:rPr>
                <w:rFonts w:cs="Arial"/>
                <w:sz w:val="22"/>
              </w:rPr>
              <w:t>39,783</w:t>
            </w:r>
          </w:p>
        </w:tc>
      </w:tr>
      <w:tr w:rsidR="002909AE" w:rsidRPr="00565A26" w14:paraId="13811FA1" w14:textId="77777777" w:rsidTr="002909AE">
        <w:tc>
          <w:tcPr>
            <w:tcW w:w="4106" w:type="dxa"/>
          </w:tcPr>
          <w:p w14:paraId="706BBC00" w14:textId="77777777" w:rsidR="002909AE" w:rsidRPr="00565A26" w:rsidRDefault="002909AE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Operating Result Including Capital Grants</w:t>
            </w:r>
          </w:p>
        </w:tc>
        <w:tc>
          <w:tcPr>
            <w:tcW w:w="1221" w:type="dxa"/>
          </w:tcPr>
          <w:p w14:paraId="70183B7E" w14:textId="77777777" w:rsidR="002909AE" w:rsidRPr="00565A26" w:rsidRDefault="002909AE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5,057</w:t>
            </w:r>
          </w:p>
        </w:tc>
        <w:tc>
          <w:tcPr>
            <w:tcW w:w="1218" w:type="dxa"/>
          </w:tcPr>
          <w:p w14:paraId="6CAF3566" w14:textId="77777777" w:rsidR="002909AE" w:rsidRPr="00565A26" w:rsidRDefault="002909AE">
            <w:pPr>
              <w:rPr>
                <w:rFonts w:cs="Arial"/>
                <w:color w:val="FF0000"/>
                <w:sz w:val="22"/>
              </w:rPr>
            </w:pPr>
            <w:r w:rsidRPr="00565A26">
              <w:rPr>
                <w:rFonts w:cs="Arial"/>
                <w:color w:val="FF0000"/>
                <w:sz w:val="22"/>
              </w:rPr>
              <w:t>-7,079</w:t>
            </w:r>
          </w:p>
        </w:tc>
        <w:tc>
          <w:tcPr>
            <w:tcW w:w="1218" w:type="dxa"/>
          </w:tcPr>
          <w:p w14:paraId="18A08829" w14:textId="77777777" w:rsidR="002909AE" w:rsidRPr="00565A26" w:rsidRDefault="00B92A95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4,347</w:t>
            </w:r>
          </w:p>
        </w:tc>
        <w:tc>
          <w:tcPr>
            <w:tcW w:w="1021" w:type="dxa"/>
          </w:tcPr>
          <w:p w14:paraId="61945B58" w14:textId="73D923C4" w:rsidR="002909AE" w:rsidRPr="00C179D3" w:rsidRDefault="00C179D3">
            <w:pPr>
              <w:rPr>
                <w:rFonts w:cs="Arial"/>
                <w:sz w:val="22"/>
              </w:rPr>
            </w:pPr>
            <w:r w:rsidRPr="00C179D3">
              <w:rPr>
                <w:rFonts w:cs="Arial"/>
                <w:sz w:val="22"/>
              </w:rPr>
              <w:t>1,413</w:t>
            </w:r>
          </w:p>
        </w:tc>
      </w:tr>
      <w:tr w:rsidR="00C179D3" w:rsidRPr="00C179D3" w14:paraId="0F81F285" w14:textId="77777777" w:rsidTr="002909AE">
        <w:tc>
          <w:tcPr>
            <w:tcW w:w="4106" w:type="dxa"/>
          </w:tcPr>
          <w:p w14:paraId="5BA7231A" w14:textId="77777777" w:rsidR="002909AE" w:rsidRPr="00565A26" w:rsidRDefault="002909AE">
            <w:pPr>
              <w:rPr>
                <w:rFonts w:cs="Arial"/>
                <w:sz w:val="22"/>
              </w:rPr>
            </w:pPr>
            <w:r w:rsidRPr="00565A26">
              <w:rPr>
                <w:rFonts w:cs="Arial"/>
                <w:sz w:val="22"/>
              </w:rPr>
              <w:t>Operating Result Excluding Capital Grants</w:t>
            </w:r>
          </w:p>
        </w:tc>
        <w:tc>
          <w:tcPr>
            <w:tcW w:w="1221" w:type="dxa"/>
          </w:tcPr>
          <w:p w14:paraId="35FA7E74" w14:textId="77777777" w:rsidR="002909AE" w:rsidRPr="00565A26" w:rsidRDefault="002909AE">
            <w:pPr>
              <w:rPr>
                <w:rFonts w:cs="Arial"/>
                <w:color w:val="FF0000"/>
                <w:sz w:val="22"/>
              </w:rPr>
            </w:pPr>
            <w:r w:rsidRPr="00565A26">
              <w:rPr>
                <w:rFonts w:cs="Arial"/>
                <w:color w:val="FF0000"/>
                <w:sz w:val="22"/>
              </w:rPr>
              <w:t>-4,882</w:t>
            </w:r>
          </w:p>
        </w:tc>
        <w:tc>
          <w:tcPr>
            <w:tcW w:w="1218" w:type="dxa"/>
          </w:tcPr>
          <w:p w14:paraId="65D1F218" w14:textId="77777777" w:rsidR="002909AE" w:rsidRPr="00565A26" w:rsidRDefault="002909AE">
            <w:pPr>
              <w:rPr>
                <w:rFonts w:cs="Arial"/>
                <w:color w:val="FF0000"/>
                <w:sz w:val="22"/>
              </w:rPr>
            </w:pPr>
            <w:r w:rsidRPr="00565A26">
              <w:rPr>
                <w:rFonts w:cs="Arial"/>
                <w:color w:val="FF0000"/>
                <w:sz w:val="22"/>
              </w:rPr>
              <w:t>-9,376</w:t>
            </w:r>
          </w:p>
        </w:tc>
        <w:tc>
          <w:tcPr>
            <w:tcW w:w="1218" w:type="dxa"/>
          </w:tcPr>
          <w:p w14:paraId="42416746" w14:textId="77777777" w:rsidR="002909AE" w:rsidRPr="00565A26" w:rsidRDefault="00B92A95">
            <w:pPr>
              <w:rPr>
                <w:rFonts w:cs="Arial"/>
                <w:color w:val="FF0000"/>
                <w:sz w:val="22"/>
              </w:rPr>
            </w:pPr>
            <w:r w:rsidRPr="00565A26">
              <w:rPr>
                <w:rFonts w:cs="Arial"/>
                <w:color w:val="FF0000"/>
                <w:sz w:val="22"/>
              </w:rPr>
              <w:t>-2,910</w:t>
            </w:r>
          </w:p>
        </w:tc>
        <w:tc>
          <w:tcPr>
            <w:tcW w:w="1021" w:type="dxa"/>
          </w:tcPr>
          <w:p w14:paraId="6223B920" w14:textId="426A5D6B" w:rsidR="002909AE" w:rsidRPr="00C179D3" w:rsidRDefault="00C179D3">
            <w:pPr>
              <w:rPr>
                <w:rFonts w:cs="Arial"/>
                <w:color w:val="FF0000"/>
                <w:sz w:val="22"/>
              </w:rPr>
            </w:pPr>
            <w:r w:rsidRPr="00C179D3">
              <w:rPr>
                <w:rFonts w:cs="Arial"/>
                <w:color w:val="FF0000"/>
                <w:sz w:val="22"/>
              </w:rPr>
              <w:t>-6,248</w:t>
            </w:r>
          </w:p>
        </w:tc>
      </w:tr>
    </w:tbl>
    <w:p w14:paraId="07418F64" w14:textId="77777777" w:rsidR="002909AE" w:rsidRPr="00565A26" w:rsidRDefault="002909AE">
      <w:pPr>
        <w:rPr>
          <w:rFonts w:cs="Arial"/>
          <w:sz w:val="22"/>
        </w:rPr>
      </w:pPr>
    </w:p>
    <w:p w14:paraId="7926B635" w14:textId="511CE031" w:rsidR="00E053F6" w:rsidRPr="00565A26" w:rsidRDefault="00E053F6">
      <w:pPr>
        <w:rPr>
          <w:rFonts w:cs="Arial"/>
          <w:b/>
          <w:sz w:val="22"/>
        </w:rPr>
      </w:pPr>
      <w:r w:rsidRPr="00565A26">
        <w:rPr>
          <w:rFonts w:cs="Arial"/>
          <w:b/>
          <w:sz w:val="22"/>
        </w:rPr>
        <w:t xml:space="preserve">Table 6. Comparison of Average Rate Levels for Other </w:t>
      </w:r>
      <w:r w:rsidR="005B7215">
        <w:rPr>
          <w:rFonts w:cs="Arial"/>
          <w:b/>
          <w:sz w:val="22"/>
        </w:rPr>
        <w:t>Similar (</w:t>
      </w:r>
      <w:r w:rsidRPr="00565A26">
        <w:rPr>
          <w:rFonts w:cs="Arial"/>
          <w:b/>
          <w:sz w:val="22"/>
        </w:rPr>
        <w:t>OLG 11</w:t>
      </w:r>
      <w:r w:rsidR="005B7215">
        <w:rPr>
          <w:rFonts w:cs="Arial"/>
          <w:b/>
          <w:sz w:val="22"/>
        </w:rPr>
        <w:t>)</w:t>
      </w:r>
      <w:r w:rsidRPr="00565A26">
        <w:rPr>
          <w:rFonts w:cs="Arial"/>
          <w:b/>
          <w:sz w:val="22"/>
        </w:rPr>
        <w:t xml:space="preserve"> Councils, 2020-21</w:t>
      </w:r>
    </w:p>
    <w:tbl>
      <w:tblPr>
        <w:tblW w:w="8284" w:type="dxa"/>
        <w:tblInd w:w="-5" w:type="dxa"/>
        <w:tblLook w:val="04A0" w:firstRow="1" w:lastRow="0" w:firstColumn="1" w:lastColumn="0" w:noHBand="0" w:noVBand="1"/>
      </w:tblPr>
      <w:tblGrid>
        <w:gridCol w:w="4060"/>
        <w:gridCol w:w="1520"/>
        <w:gridCol w:w="1284"/>
        <w:gridCol w:w="1420"/>
      </w:tblGrid>
      <w:tr w:rsidR="00E053F6" w:rsidRPr="00E053F6" w14:paraId="1E75F6B0" w14:textId="77777777" w:rsidTr="00E053F6">
        <w:trPr>
          <w:trHeight w:val="64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903" w14:textId="77777777" w:rsidR="00E053F6" w:rsidRPr="00E053F6" w:rsidRDefault="00E053F6" w:rsidP="00E053F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2020-21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860" w14:textId="77777777" w:rsidR="00E053F6" w:rsidRPr="00E053F6" w:rsidRDefault="00E053F6" w:rsidP="00E053F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 xml:space="preserve">Residential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E04" w14:textId="77777777" w:rsidR="00E053F6" w:rsidRPr="00E053F6" w:rsidRDefault="00E053F6" w:rsidP="00E053F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Farm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956" w14:textId="77777777" w:rsidR="00E053F6" w:rsidRPr="00E053F6" w:rsidRDefault="00E053F6" w:rsidP="00E053F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Business</w:t>
            </w:r>
          </w:p>
        </w:tc>
      </w:tr>
      <w:tr w:rsidR="00E053F6" w:rsidRPr="00E053F6" w14:paraId="67A58DB7" w14:textId="77777777" w:rsidTr="00E053F6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8DBD" w14:textId="2A5EED86" w:rsidR="00E053F6" w:rsidRPr="00E053F6" w:rsidRDefault="00FB0250" w:rsidP="00FB025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Mean (a</w:t>
            </w:r>
            <w:r w:rsidR="002F76A7">
              <w:rPr>
                <w:rFonts w:eastAsia="Times New Roman" w:cs="Arial"/>
                <w:color w:val="000000"/>
                <w:sz w:val="22"/>
                <w:lang w:eastAsia="en-AU"/>
              </w:rPr>
              <w:t>verage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)</w:t>
            </w:r>
            <w:r w:rsidR="002F76A7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OLG11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504B" w14:textId="77777777" w:rsidR="00E053F6" w:rsidRPr="00E053F6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981.64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35C5" w14:textId="77777777" w:rsidR="00E053F6" w:rsidRPr="00E053F6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3,466.63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FAF51" w14:textId="77777777" w:rsidR="00E053F6" w:rsidRPr="00E053F6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2,245.98</w:t>
            </w:r>
          </w:p>
        </w:tc>
      </w:tr>
      <w:tr w:rsidR="00E053F6" w:rsidRPr="00E053F6" w14:paraId="1C379124" w14:textId="77777777" w:rsidTr="00E053F6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96C5" w14:textId="301BA977" w:rsidR="00E053F6" w:rsidRPr="00E053F6" w:rsidRDefault="00E053F6" w:rsidP="00E053F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Standard</w:t>
            </w:r>
            <w:r w:rsidR="002F76A7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deviation</w:t>
            </w:r>
            <w:r w:rsidR="00FB0250">
              <w:rPr>
                <w:rStyle w:val="FootnoteReference"/>
                <w:rFonts w:eastAsia="Times New Roman" w:cs="Arial"/>
                <w:color w:val="000000"/>
                <w:sz w:val="22"/>
                <w:lang w:eastAsia="en-AU"/>
              </w:rPr>
              <w:footnoteReference w:id="3"/>
            </w:r>
            <w:r w:rsidR="002F76A7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OLG11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F5FB" w14:textId="77777777" w:rsidR="00E053F6" w:rsidRPr="00E053F6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505.19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8608" w14:textId="77777777" w:rsidR="00E053F6" w:rsidRPr="00E053F6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2,070.97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D7AC" w14:textId="77777777" w:rsidR="00E053F6" w:rsidRPr="00E053F6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1,469.98</w:t>
            </w:r>
          </w:p>
        </w:tc>
      </w:tr>
      <w:tr w:rsidR="00E053F6" w:rsidRPr="00E053F6" w14:paraId="170D1077" w14:textId="77777777" w:rsidTr="00E053F6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7D9A3" w14:textId="76BFBEE1" w:rsidR="00E053F6" w:rsidRPr="00E053F6" w:rsidRDefault="002F76A7" w:rsidP="00E053F6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Median</w:t>
            </w:r>
            <w:r w:rsidR="00FB0250">
              <w:rPr>
                <w:rStyle w:val="FootnoteReference"/>
                <w:rFonts w:eastAsia="Times New Roman" w:cs="Arial"/>
                <w:color w:val="000000"/>
                <w:sz w:val="22"/>
                <w:lang w:eastAsia="en-AU"/>
              </w:rPr>
              <w:footnoteReference w:id="4"/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OLG11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0798" w14:textId="77777777" w:rsidR="00E053F6" w:rsidRPr="00E053F6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897.75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5A10" w14:textId="77777777" w:rsidR="00E053F6" w:rsidRPr="00E053F6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2,900.00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FDCA" w14:textId="77777777" w:rsidR="00E053F6" w:rsidRPr="00E053F6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053F6">
              <w:rPr>
                <w:rFonts w:eastAsia="Times New Roman" w:cs="Arial"/>
                <w:color w:val="000000"/>
                <w:sz w:val="22"/>
                <w:lang w:eastAsia="en-AU"/>
              </w:rPr>
              <w:t>1,672.71</w:t>
            </w:r>
          </w:p>
        </w:tc>
      </w:tr>
      <w:tr w:rsidR="00E053F6" w:rsidRPr="00FB0250" w14:paraId="7B3BDDA1" w14:textId="77777777" w:rsidTr="00E053F6">
        <w:trPr>
          <w:trHeight w:val="6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4F1AE" w14:textId="77777777" w:rsidR="00E053F6" w:rsidRPr="00FB0250" w:rsidRDefault="00E053F6" w:rsidP="00E053F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2"/>
                <w:lang w:eastAsia="en-AU"/>
              </w:rPr>
            </w:pPr>
            <w:r w:rsidRPr="00FB0250">
              <w:rPr>
                <w:rFonts w:eastAsia="Times New Roman" w:cs="Arial"/>
                <w:b/>
                <w:color w:val="000000"/>
                <w:sz w:val="22"/>
                <w:lang w:eastAsia="en-AU"/>
              </w:rPr>
              <w:t>Cootamundra-Gundagai Post Harmonisation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7CF8" w14:textId="77777777" w:rsidR="00E053F6" w:rsidRPr="00FB0250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2"/>
                <w:lang w:eastAsia="en-AU"/>
              </w:rPr>
            </w:pPr>
            <w:r w:rsidRPr="00FB0250">
              <w:rPr>
                <w:rFonts w:eastAsia="Times New Roman" w:cs="Arial"/>
                <w:b/>
                <w:color w:val="000000"/>
                <w:sz w:val="22"/>
                <w:lang w:eastAsia="en-AU"/>
              </w:rPr>
              <w:t>$675.00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F315B" w14:textId="77777777" w:rsidR="00E053F6" w:rsidRPr="00FB0250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2"/>
                <w:lang w:eastAsia="en-AU"/>
              </w:rPr>
            </w:pPr>
            <w:r w:rsidRPr="00FB0250">
              <w:rPr>
                <w:rFonts w:eastAsia="Times New Roman" w:cs="Arial"/>
                <w:b/>
                <w:color w:val="000000"/>
                <w:sz w:val="22"/>
                <w:lang w:eastAsia="en-AU"/>
              </w:rPr>
              <w:t>$2,900.00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51BE4" w14:textId="77777777" w:rsidR="00E053F6" w:rsidRPr="00FB0250" w:rsidRDefault="00E053F6" w:rsidP="00E053F6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2"/>
                <w:lang w:eastAsia="en-AU"/>
              </w:rPr>
            </w:pPr>
            <w:r w:rsidRPr="00FB0250">
              <w:rPr>
                <w:rFonts w:eastAsia="Times New Roman" w:cs="Arial"/>
                <w:b/>
                <w:color w:val="000000"/>
                <w:sz w:val="22"/>
                <w:lang w:eastAsia="en-AU"/>
              </w:rPr>
              <w:t>$1,560.00</w:t>
            </w:r>
          </w:p>
        </w:tc>
      </w:tr>
    </w:tbl>
    <w:p w14:paraId="42B26798" w14:textId="77777777" w:rsidR="00E053F6" w:rsidRDefault="00E053F6">
      <w:pPr>
        <w:rPr>
          <w:rFonts w:cs="Arial"/>
          <w:sz w:val="22"/>
        </w:rPr>
      </w:pPr>
      <w:r w:rsidRPr="00565A26">
        <w:rPr>
          <w:rFonts w:cs="Arial"/>
          <w:sz w:val="22"/>
        </w:rPr>
        <w:t>Source: Office of Local Government 2018-19 data inflated for the two rate caps over the intervening period.</w:t>
      </w:r>
    </w:p>
    <w:p w14:paraId="513D00AB" w14:textId="77777777" w:rsidR="00DE22F1" w:rsidRDefault="00DE22F1">
      <w:pPr>
        <w:rPr>
          <w:rFonts w:cs="Arial"/>
          <w:sz w:val="22"/>
        </w:rPr>
      </w:pPr>
    </w:p>
    <w:p w14:paraId="2C4F80C8" w14:textId="0AD8830D" w:rsidR="00DE22F1" w:rsidRDefault="00DE22F1">
      <w:pPr>
        <w:rPr>
          <w:rFonts w:cs="Arial"/>
          <w:b/>
          <w:sz w:val="22"/>
        </w:rPr>
      </w:pPr>
      <w:r w:rsidRPr="00DE22F1">
        <w:rPr>
          <w:rFonts w:cs="Arial"/>
          <w:b/>
          <w:sz w:val="22"/>
        </w:rPr>
        <w:t xml:space="preserve">Figure 1. </w:t>
      </w:r>
      <w:r w:rsidR="00EC74E3" w:rsidRPr="00DE22F1">
        <w:rPr>
          <w:rFonts w:cs="Arial"/>
          <w:b/>
          <w:sz w:val="22"/>
        </w:rPr>
        <w:t>Cootamundra</w:t>
      </w:r>
      <w:r w:rsidR="00EC74E3">
        <w:rPr>
          <w:rFonts w:cs="Arial"/>
          <w:b/>
          <w:sz w:val="22"/>
        </w:rPr>
        <w:t>-</w:t>
      </w:r>
      <w:r w:rsidRPr="00DE22F1">
        <w:rPr>
          <w:rFonts w:cs="Arial"/>
          <w:b/>
          <w:sz w:val="22"/>
        </w:rPr>
        <w:t xml:space="preserve">Gundagai </w:t>
      </w:r>
      <w:r w:rsidR="002232AC">
        <w:rPr>
          <w:rFonts w:cs="Arial"/>
          <w:b/>
          <w:sz w:val="22"/>
        </w:rPr>
        <w:t xml:space="preserve">Revenue and </w:t>
      </w:r>
      <w:r w:rsidRPr="00DE22F1">
        <w:rPr>
          <w:rFonts w:cs="Arial"/>
          <w:b/>
          <w:sz w:val="22"/>
        </w:rPr>
        <w:t>Expenditure by Type and Destination.</w:t>
      </w:r>
    </w:p>
    <w:p w14:paraId="010C3846" w14:textId="3348A1F6" w:rsidR="00541D90" w:rsidRDefault="00541D90" w:rsidP="004B5BD1">
      <w:pPr>
        <w:jc w:val="center"/>
        <w:rPr>
          <w:rFonts w:cs="Arial"/>
          <w:sz w:val="22"/>
        </w:rPr>
      </w:pPr>
    </w:p>
    <w:p w14:paraId="40AD980B" w14:textId="5D314F0E" w:rsidR="00D23D69" w:rsidRPr="00541D90" w:rsidRDefault="00D23D69" w:rsidP="004B5BD1">
      <w:pPr>
        <w:rPr>
          <w:rFonts w:cs="Arial"/>
          <w:sz w:val="22"/>
        </w:rPr>
      </w:pPr>
      <w:r>
        <w:rPr>
          <w:rFonts w:cs="Arial"/>
          <w:noProof/>
          <w:sz w:val="22"/>
          <w:lang w:eastAsia="en-AU"/>
        </w:rPr>
        <w:drawing>
          <wp:inline distT="0" distB="0" distL="0" distR="0" wp14:anchorId="5ADBC54B" wp14:editId="0ED90D15">
            <wp:extent cx="2975574" cy="2103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69" cy="212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22"/>
        </w:rPr>
        <w:t xml:space="preserve">  </w:t>
      </w:r>
      <w:r w:rsidR="00500C68">
        <w:rPr>
          <w:rFonts w:cs="Arial"/>
          <w:noProof/>
          <w:sz w:val="22"/>
          <w:lang w:eastAsia="en-AU"/>
        </w:rPr>
        <w:drawing>
          <wp:inline distT="0" distB="0" distL="0" distR="0" wp14:anchorId="49A9976E" wp14:editId="7C8024B3">
            <wp:extent cx="2709545" cy="2098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27" cy="2117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3D69" w:rsidRPr="00541D90" w:rsidSect="004B5B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28A4E" w14:textId="77777777" w:rsidR="00F254BC" w:rsidRDefault="00F254BC" w:rsidP="009F27F6">
      <w:pPr>
        <w:spacing w:after="0" w:line="240" w:lineRule="auto"/>
      </w:pPr>
      <w:r>
        <w:separator/>
      </w:r>
    </w:p>
  </w:endnote>
  <w:endnote w:type="continuationSeparator" w:id="0">
    <w:p w14:paraId="71E63363" w14:textId="77777777" w:rsidR="00F254BC" w:rsidRDefault="00F254BC" w:rsidP="009F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2AD5" w14:textId="77777777" w:rsidR="004B7DFE" w:rsidRDefault="004B7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377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4BDCD" w14:textId="745FA936" w:rsidR="004B7DFE" w:rsidRDefault="004B7D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24521" w14:textId="77777777" w:rsidR="004B7DFE" w:rsidRDefault="004B7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79F1" w14:textId="77777777" w:rsidR="004B7DFE" w:rsidRDefault="004B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72453" w14:textId="77777777" w:rsidR="00F254BC" w:rsidRDefault="00F254BC" w:rsidP="009F27F6">
      <w:pPr>
        <w:spacing w:after="0" w:line="240" w:lineRule="auto"/>
      </w:pPr>
      <w:r>
        <w:separator/>
      </w:r>
    </w:p>
  </w:footnote>
  <w:footnote w:type="continuationSeparator" w:id="0">
    <w:p w14:paraId="70827662" w14:textId="77777777" w:rsidR="00F254BC" w:rsidRDefault="00F254BC" w:rsidP="009F27F6">
      <w:pPr>
        <w:spacing w:after="0" w:line="240" w:lineRule="auto"/>
      </w:pPr>
      <w:r>
        <w:continuationSeparator/>
      </w:r>
    </w:p>
  </w:footnote>
  <w:footnote w:id="1">
    <w:p w14:paraId="36B8C282" w14:textId="5246D349" w:rsidR="004B7DFE" w:rsidRDefault="004B7DFE">
      <w:pPr>
        <w:pStyle w:val="FootnoteText"/>
      </w:pPr>
      <w:r>
        <w:rPr>
          <w:rStyle w:val="FootnoteReference"/>
        </w:rPr>
        <w:footnoteRef/>
      </w:r>
      <w:r>
        <w:t xml:space="preserve"> This means that after 2025/26 rates will not go down again, but instead be increased by the rate peg set by IPART which Councils are advised to assume to be 2.5% per annum.</w:t>
      </w:r>
    </w:p>
  </w:footnote>
  <w:footnote w:id="2">
    <w:p w14:paraId="690AC0C1" w14:textId="77777777" w:rsidR="004B7DFE" w:rsidRDefault="004B7DFE">
      <w:pPr>
        <w:pStyle w:val="FootnoteText"/>
      </w:pPr>
      <w:r>
        <w:rPr>
          <w:rStyle w:val="FootnoteReference"/>
        </w:rPr>
        <w:footnoteRef/>
      </w:r>
      <w:r>
        <w:t xml:space="preserve"> As a consequence of forgoing the expiry of the current SRV at the end of 2023/24 the 5% SRV included in our tables really represents a 9% increase against the status quo outcome for 2024/25.</w:t>
      </w:r>
    </w:p>
  </w:footnote>
  <w:footnote w:id="3">
    <w:p w14:paraId="30410409" w14:textId="34D7788D" w:rsidR="00FB0250" w:rsidRDefault="00FB0250">
      <w:pPr>
        <w:pStyle w:val="FootnoteText"/>
      </w:pPr>
      <w:r>
        <w:rPr>
          <w:rStyle w:val="FootnoteReference"/>
        </w:rPr>
        <w:footnoteRef/>
      </w:r>
      <w:r>
        <w:t xml:space="preserve"> The standard deviation is the average spread of results in OLG11 from the mean.</w:t>
      </w:r>
    </w:p>
  </w:footnote>
  <w:footnote w:id="4">
    <w:p w14:paraId="350AB207" w14:textId="221BEBBF" w:rsidR="00FB0250" w:rsidRDefault="00FB0250">
      <w:pPr>
        <w:pStyle w:val="FootnoteText"/>
      </w:pPr>
      <w:r>
        <w:rPr>
          <w:rStyle w:val="FootnoteReference"/>
        </w:rPr>
        <w:footnoteRef/>
      </w:r>
      <w:r>
        <w:t xml:space="preserve"> The median is the middle number when all OLG11 council rates are put into ascending order. It is sometimes used as an alternative to the mean for measuring central tendency.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1FD" w14:textId="77777777" w:rsidR="004B7DFE" w:rsidRDefault="004B7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A8EB" w14:textId="77777777" w:rsidR="004B7DFE" w:rsidRDefault="004B7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85FD" w14:textId="77777777" w:rsidR="004B7DFE" w:rsidRDefault="004B7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161"/>
    <w:multiLevelType w:val="hybridMultilevel"/>
    <w:tmpl w:val="A4909F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C5"/>
    <w:rsid w:val="00006404"/>
    <w:rsid w:val="00052752"/>
    <w:rsid w:val="00055E82"/>
    <w:rsid w:val="000730DB"/>
    <w:rsid w:val="00074FD2"/>
    <w:rsid w:val="00083EC4"/>
    <w:rsid w:val="00087ACD"/>
    <w:rsid w:val="000A415C"/>
    <w:rsid w:val="000D4A7D"/>
    <w:rsid w:val="000E3BAA"/>
    <w:rsid w:val="000F07B9"/>
    <w:rsid w:val="0010311D"/>
    <w:rsid w:val="001050CE"/>
    <w:rsid w:val="001139ED"/>
    <w:rsid w:val="00140B92"/>
    <w:rsid w:val="001466FA"/>
    <w:rsid w:val="0016290E"/>
    <w:rsid w:val="00162C81"/>
    <w:rsid w:val="00177DC9"/>
    <w:rsid w:val="00197949"/>
    <w:rsid w:val="001C0DF0"/>
    <w:rsid w:val="001C7EE0"/>
    <w:rsid w:val="001D7B97"/>
    <w:rsid w:val="002163F1"/>
    <w:rsid w:val="002232AC"/>
    <w:rsid w:val="002335A3"/>
    <w:rsid w:val="002909AE"/>
    <w:rsid w:val="002E4869"/>
    <w:rsid w:val="002F400E"/>
    <w:rsid w:val="002F76A7"/>
    <w:rsid w:val="0030111D"/>
    <w:rsid w:val="00305BCA"/>
    <w:rsid w:val="003255AE"/>
    <w:rsid w:val="00330185"/>
    <w:rsid w:val="003C36CF"/>
    <w:rsid w:val="0040588C"/>
    <w:rsid w:val="004107AF"/>
    <w:rsid w:val="00425CBD"/>
    <w:rsid w:val="004341DC"/>
    <w:rsid w:val="00442278"/>
    <w:rsid w:val="004764E7"/>
    <w:rsid w:val="004914D8"/>
    <w:rsid w:val="004B5BD1"/>
    <w:rsid w:val="004B7DFE"/>
    <w:rsid w:val="004E0627"/>
    <w:rsid w:val="004E3652"/>
    <w:rsid w:val="00500C68"/>
    <w:rsid w:val="005322FA"/>
    <w:rsid w:val="00541D90"/>
    <w:rsid w:val="00544857"/>
    <w:rsid w:val="00565A26"/>
    <w:rsid w:val="005A2638"/>
    <w:rsid w:val="005B7215"/>
    <w:rsid w:val="005E0B8A"/>
    <w:rsid w:val="0061459F"/>
    <w:rsid w:val="0061597B"/>
    <w:rsid w:val="00627B46"/>
    <w:rsid w:val="006403A7"/>
    <w:rsid w:val="0064331F"/>
    <w:rsid w:val="00684C1C"/>
    <w:rsid w:val="00690BA7"/>
    <w:rsid w:val="006D1DB2"/>
    <w:rsid w:val="006D2715"/>
    <w:rsid w:val="006D7624"/>
    <w:rsid w:val="006F7802"/>
    <w:rsid w:val="0071684F"/>
    <w:rsid w:val="00724B62"/>
    <w:rsid w:val="007357BD"/>
    <w:rsid w:val="007835BF"/>
    <w:rsid w:val="00792196"/>
    <w:rsid w:val="007B6B5C"/>
    <w:rsid w:val="007C1F4E"/>
    <w:rsid w:val="007F7DCA"/>
    <w:rsid w:val="007F7DD3"/>
    <w:rsid w:val="00827942"/>
    <w:rsid w:val="0086162F"/>
    <w:rsid w:val="00865EE7"/>
    <w:rsid w:val="00870685"/>
    <w:rsid w:val="00875DED"/>
    <w:rsid w:val="00886DDB"/>
    <w:rsid w:val="008A5D5B"/>
    <w:rsid w:val="008F7DF0"/>
    <w:rsid w:val="009263A3"/>
    <w:rsid w:val="0093341A"/>
    <w:rsid w:val="00940E9B"/>
    <w:rsid w:val="00954CD6"/>
    <w:rsid w:val="0096182D"/>
    <w:rsid w:val="009A7000"/>
    <w:rsid w:val="009B49B5"/>
    <w:rsid w:val="009D5B93"/>
    <w:rsid w:val="009E7DCC"/>
    <w:rsid w:val="009F18C5"/>
    <w:rsid w:val="009F27F6"/>
    <w:rsid w:val="00A421D1"/>
    <w:rsid w:val="00A63CC1"/>
    <w:rsid w:val="00A65804"/>
    <w:rsid w:val="00A833B4"/>
    <w:rsid w:val="00A9447C"/>
    <w:rsid w:val="00AB12E7"/>
    <w:rsid w:val="00AB77EA"/>
    <w:rsid w:val="00AD67A3"/>
    <w:rsid w:val="00B053C9"/>
    <w:rsid w:val="00B11273"/>
    <w:rsid w:val="00B42204"/>
    <w:rsid w:val="00B433F8"/>
    <w:rsid w:val="00B74C90"/>
    <w:rsid w:val="00B92A95"/>
    <w:rsid w:val="00B96D5F"/>
    <w:rsid w:val="00BD5041"/>
    <w:rsid w:val="00C07B3E"/>
    <w:rsid w:val="00C179D3"/>
    <w:rsid w:val="00C360FD"/>
    <w:rsid w:val="00C614C9"/>
    <w:rsid w:val="00C71983"/>
    <w:rsid w:val="00C84145"/>
    <w:rsid w:val="00C8460E"/>
    <w:rsid w:val="00CB68D0"/>
    <w:rsid w:val="00CE75E0"/>
    <w:rsid w:val="00CF3157"/>
    <w:rsid w:val="00D12781"/>
    <w:rsid w:val="00D17401"/>
    <w:rsid w:val="00D23D69"/>
    <w:rsid w:val="00D31F51"/>
    <w:rsid w:val="00D57181"/>
    <w:rsid w:val="00D67031"/>
    <w:rsid w:val="00D70B1E"/>
    <w:rsid w:val="00D827AD"/>
    <w:rsid w:val="00D84C4E"/>
    <w:rsid w:val="00DB0AFF"/>
    <w:rsid w:val="00DB460F"/>
    <w:rsid w:val="00DD7BA2"/>
    <w:rsid w:val="00DE22F1"/>
    <w:rsid w:val="00DE4477"/>
    <w:rsid w:val="00E053F6"/>
    <w:rsid w:val="00E231D9"/>
    <w:rsid w:val="00E30618"/>
    <w:rsid w:val="00E50DE9"/>
    <w:rsid w:val="00E73730"/>
    <w:rsid w:val="00E87319"/>
    <w:rsid w:val="00EA7C50"/>
    <w:rsid w:val="00EC74E3"/>
    <w:rsid w:val="00F254BC"/>
    <w:rsid w:val="00F3552C"/>
    <w:rsid w:val="00F357C7"/>
    <w:rsid w:val="00F37AFF"/>
    <w:rsid w:val="00F41501"/>
    <w:rsid w:val="00F446FA"/>
    <w:rsid w:val="00F60EDA"/>
    <w:rsid w:val="00F91407"/>
    <w:rsid w:val="00F92499"/>
    <w:rsid w:val="00F95878"/>
    <w:rsid w:val="00FA3E17"/>
    <w:rsid w:val="00FB0250"/>
    <w:rsid w:val="00FC4564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68319"/>
  <w15:chartTrackingRefBased/>
  <w15:docId w15:val="{1BF958A1-F660-4CAC-8E38-D8CEE548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27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7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7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5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4D8"/>
  </w:style>
  <w:style w:type="paragraph" w:styleId="Footer">
    <w:name w:val="footer"/>
    <w:basedOn w:val="Normal"/>
    <w:link w:val="FooterChar"/>
    <w:uiPriority w:val="99"/>
    <w:unhideWhenUsed/>
    <w:rsid w:val="00491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4D8"/>
  </w:style>
  <w:style w:type="paragraph" w:styleId="BalloonText">
    <w:name w:val="Balloon Text"/>
    <w:basedOn w:val="Normal"/>
    <w:link w:val="BalloonTextChar"/>
    <w:uiPriority w:val="99"/>
    <w:semiHidden/>
    <w:unhideWhenUsed/>
    <w:rsid w:val="0008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627"/>
    <w:rPr>
      <w:color w:val="0000FF"/>
      <w:u w:val="single"/>
    </w:rPr>
  </w:style>
  <w:style w:type="table" w:styleId="TableGrid">
    <w:name w:val="Table Grid"/>
    <w:basedOn w:val="TableNormal"/>
    <w:uiPriority w:val="39"/>
    <w:rsid w:val="0029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7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art.nsw.gov.au/Home/Industries/Local-Government/Special-Variations" TargetMode="Externa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tect-au.mimecast.com/s/8TwOCL7EPlFL1gryiBohb3?domain=cgrc.nsw.gov.au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8A7E-01EA-4AE1-A1DE-6133FBBB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7</cp:revision>
  <cp:lastPrinted>2020-12-15T03:41:00Z</cp:lastPrinted>
  <dcterms:created xsi:type="dcterms:W3CDTF">2020-12-15T03:40:00Z</dcterms:created>
  <dcterms:modified xsi:type="dcterms:W3CDTF">2020-12-15T03:50:00Z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2020-12-09T19:09:39Z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a3b73ab9-849e-46f3-82a0-7439e7c4cf06</vt:lpwstr>
  </property>
  <property fmtid="{D5CDD505-2E9C-101B-9397-08002B2CF9AE}" pid="8" name="MSIP_Label_51a6c3db-1667-4f49-995a-8b9973972958_ContentBits">
    <vt:lpwstr>0</vt:lpwstr>
  </property>
</Properties>
</file>